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DB1" w:rsidRDefault="00F90F88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  <w:r>
        <w:rPr>
          <w:rFonts w:ascii="Calibri" w:hAnsi="Calibri"/>
          <w:color w:val="000000"/>
          <w:sz w:val="16"/>
          <w:szCs w:val="22"/>
          <w:lang w:val="es-CR" w:eastAsia="es-CR"/>
        </w:rPr>
        <w:t>26</w:t>
      </w:r>
      <w:r w:rsidR="005741EF" w:rsidRPr="000A283F">
        <w:rPr>
          <w:rFonts w:ascii="Calibri" w:hAnsi="Calibri"/>
          <w:color w:val="000000"/>
          <w:sz w:val="16"/>
          <w:szCs w:val="22"/>
          <w:lang w:val="es-CR" w:eastAsia="es-CR"/>
        </w:rPr>
        <w:t>-1</w:t>
      </w:r>
      <w:r w:rsidR="00132BF3">
        <w:rPr>
          <w:rFonts w:ascii="Calibri" w:hAnsi="Calibri"/>
          <w:color w:val="000000"/>
          <w:sz w:val="16"/>
          <w:szCs w:val="22"/>
          <w:lang w:val="es-CR" w:eastAsia="es-CR"/>
        </w:rPr>
        <w:t>0</w:t>
      </w:r>
      <w:r w:rsidR="005741EF" w:rsidRPr="000A283F">
        <w:rPr>
          <w:rFonts w:ascii="Calibri" w:hAnsi="Calibri"/>
          <w:color w:val="000000"/>
          <w:sz w:val="16"/>
          <w:szCs w:val="22"/>
          <w:lang w:val="es-CR" w:eastAsia="es-CR"/>
        </w:rPr>
        <w:t>-</w:t>
      </w:r>
      <w:r w:rsidR="00465590" w:rsidRPr="000A283F">
        <w:rPr>
          <w:rFonts w:ascii="Calibri" w:hAnsi="Calibri"/>
          <w:color w:val="000000"/>
          <w:sz w:val="16"/>
          <w:szCs w:val="22"/>
          <w:lang w:val="es-CR" w:eastAsia="es-CR"/>
        </w:rPr>
        <w:t>201</w:t>
      </w:r>
      <w:r>
        <w:rPr>
          <w:rFonts w:ascii="Calibri" w:hAnsi="Calibri"/>
          <w:color w:val="000000"/>
          <w:sz w:val="16"/>
          <w:szCs w:val="22"/>
          <w:lang w:val="es-CR" w:eastAsia="es-CR"/>
        </w:rPr>
        <w:t>7</w:t>
      </w:r>
    </w:p>
    <w:p w:rsidR="00D43E0A" w:rsidRPr="000A283F" w:rsidRDefault="00F90F88" w:rsidP="00D43E0A">
      <w:pPr>
        <w:autoSpaceDE w:val="0"/>
        <w:autoSpaceDN w:val="0"/>
        <w:adjustRightInd w:val="0"/>
        <w:spacing w:after="120"/>
        <w:ind w:left="720"/>
        <w:contextualSpacing/>
        <w:jc w:val="center"/>
        <w:rPr>
          <w:rFonts w:ascii="Calibri" w:hAnsi="Calibri"/>
          <w:b/>
          <w:sz w:val="36"/>
          <w:szCs w:val="34"/>
          <w:lang w:val="es-CR" w:eastAsia="es-CR"/>
        </w:rPr>
      </w:pPr>
      <w:r>
        <w:rPr>
          <w:rFonts w:ascii="Calibri" w:hAnsi="Calibri"/>
          <w:b/>
          <w:sz w:val="36"/>
          <w:szCs w:val="34"/>
          <w:lang w:val="es-CR" w:eastAsia="es-CR"/>
        </w:rPr>
        <w:t>Prima del</w:t>
      </w:r>
      <w:r w:rsidR="005741EF" w:rsidRPr="000A283F">
        <w:rPr>
          <w:rFonts w:ascii="Calibri" w:hAnsi="Calibri"/>
          <w:b/>
          <w:sz w:val="36"/>
          <w:szCs w:val="34"/>
          <w:lang w:val="es-CR" w:eastAsia="es-CR"/>
        </w:rPr>
        <w:t xml:space="preserve"> SOA </w:t>
      </w:r>
      <w:r w:rsidR="00132BF3">
        <w:rPr>
          <w:rFonts w:ascii="Calibri" w:hAnsi="Calibri"/>
          <w:b/>
          <w:sz w:val="36"/>
          <w:szCs w:val="34"/>
          <w:lang w:val="es-CR" w:eastAsia="es-CR"/>
        </w:rPr>
        <w:t xml:space="preserve">disminuye </w:t>
      </w:r>
      <w:r>
        <w:rPr>
          <w:rFonts w:ascii="Calibri" w:hAnsi="Calibri"/>
          <w:b/>
          <w:sz w:val="36"/>
          <w:szCs w:val="34"/>
          <w:lang w:val="es-CR" w:eastAsia="es-CR"/>
        </w:rPr>
        <w:t>para vehículos particulares</w:t>
      </w:r>
    </w:p>
    <w:p w:rsidR="00D43E0A" w:rsidRDefault="00D43E0A" w:rsidP="00D43E0A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b/>
          <w:szCs w:val="22"/>
          <w:lang w:val="es-CR" w:eastAsia="es-CR"/>
        </w:rPr>
      </w:pPr>
    </w:p>
    <w:p w:rsidR="00A065FE" w:rsidRPr="00075448" w:rsidRDefault="00F90F88" w:rsidP="00A065FE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0"/>
          <w:szCs w:val="20"/>
          <w:lang w:val="es-CR" w:eastAsia="es-CR"/>
        </w:rPr>
      </w:pPr>
      <w:r w:rsidRPr="00075448">
        <w:rPr>
          <w:rFonts w:ascii="Calibri" w:hAnsi="Calibri"/>
          <w:i/>
          <w:sz w:val="20"/>
          <w:szCs w:val="20"/>
          <w:lang w:val="es-CR" w:eastAsia="es-CR"/>
        </w:rPr>
        <w:t>Alta siniestralidad en motos aumenta la prima en</w:t>
      </w:r>
      <w:r w:rsidR="00A065FE" w:rsidRPr="00075448">
        <w:rPr>
          <w:rFonts w:ascii="Calibri" w:hAnsi="Calibri"/>
          <w:i/>
          <w:sz w:val="20"/>
          <w:szCs w:val="20"/>
          <w:lang w:val="es-CR" w:eastAsia="es-CR"/>
        </w:rPr>
        <w:t xml:space="preserve"> </w:t>
      </w:r>
      <w:r w:rsidRPr="00075448">
        <w:rPr>
          <w:rFonts w:ascii="Calibri" w:hAnsi="Calibri"/>
          <w:i/>
          <w:sz w:val="20"/>
          <w:szCs w:val="20"/>
          <w:lang w:val="es-CR" w:eastAsia="es-CR"/>
        </w:rPr>
        <w:t>15%</w:t>
      </w:r>
    </w:p>
    <w:p w:rsidR="00EE33D8" w:rsidRPr="00075448" w:rsidRDefault="00EE33D8" w:rsidP="00A065FE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0"/>
          <w:szCs w:val="20"/>
          <w:lang w:val="es-CR" w:eastAsia="es-CR"/>
        </w:rPr>
      </w:pPr>
      <w:r w:rsidRPr="00075448">
        <w:rPr>
          <w:rFonts w:ascii="Calibri" w:hAnsi="Calibri"/>
          <w:i/>
          <w:sz w:val="20"/>
          <w:szCs w:val="20"/>
          <w:lang w:val="es-CR" w:eastAsia="es-CR"/>
        </w:rPr>
        <w:t>Cobertura se mantiene en 6 millones de colones</w:t>
      </w:r>
    </w:p>
    <w:p w:rsidR="00350337" w:rsidRPr="000A283F" w:rsidRDefault="00350337" w:rsidP="00A82C8B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i/>
          <w:sz w:val="22"/>
          <w:szCs w:val="22"/>
          <w:lang w:val="es-CR" w:eastAsia="es-CR"/>
        </w:rPr>
      </w:pPr>
    </w:p>
    <w:p w:rsidR="00607BD0" w:rsidRPr="00075448" w:rsidRDefault="00607BD0" w:rsidP="00607BD0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 w:val="22"/>
          <w:lang w:val="es-CR" w:eastAsia="es-CR"/>
        </w:rPr>
      </w:pPr>
      <w:r w:rsidRPr="00075448">
        <w:rPr>
          <w:rFonts w:asciiTheme="minorHAnsi" w:hAnsiTheme="minorHAnsi"/>
          <w:sz w:val="22"/>
          <w:lang w:val="es-CR" w:eastAsia="es-CR"/>
        </w:rPr>
        <w:t>L</w:t>
      </w:r>
      <w:r w:rsidR="00295DB1" w:rsidRPr="00075448">
        <w:rPr>
          <w:rFonts w:asciiTheme="minorHAnsi" w:hAnsiTheme="minorHAnsi"/>
          <w:sz w:val="22"/>
          <w:lang w:val="es-CR" w:eastAsia="es-CR"/>
        </w:rPr>
        <w:t xml:space="preserve">a Superintendencia General de Seguros (Sugese), </w:t>
      </w:r>
      <w:r w:rsidR="0006123C" w:rsidRPr="00075448">
        <w:rPr>
          <w:rFonts w:asciiTheme="minorHAnsi" w:hAnsiTheme="minorHAnsi"/>
          <w:sz w:val="22"/>
          <w:lang w:val="es-CR" w:eastAsia="es-CR"/>
        </w:rPr>
        <w:t>autorizó</w:t>
      </w:r>
      <w:r w:rsidR="007A0208" w:rsidRPr="00075448">
        <w:rPr>
          <w:rFonts w:asciiTheme="minorHAnsi" w:hAnsiTheme="minorHAnsi"/>
          <w:sz w:val="22"/>
          <w:lang w:val="es-CR" w:eastAsia="es-CR"/>
        </w:rPr>
        <w:t xml:space="preserve"> hoy</w:t>
      </w:r>
      <w:r w:rsidR="00295DB1" w:rsidRPr="00075448">
        <w:rPr>
          <w:rFonts w:asciiTheme="minorHAnsi" w:hAnsiTheme="minorHAnsi"/>
          <w:sz w:val="22"/>
          <w:lang w:val="es-CR" w:eastAsia="es-CR"/>
        </w:rPr>
        <w:t xml:space="preserve"> las</w:t>
      </w:r>
      <w:r w:rsidR="0094432D" w:rsidRPr="00075448">
        <w:rPr>
          <w:rFonts w:asciiTheme="minorHAnsi" w:hAnsiTheme="minorHAnsi"/>
          <w:sz w:val="22"/>
          <w:lang w:val="es-CR" w:eastAsia="es-CR"/>
        </w:rPr>
        <w:t xml:space="preserve"> nuevas</w:t>
      </w:r>
      <w:r w:rsidR="00295DB1" w:rsidRPr="00075448">
        <w:rPr>
          <w:rFonts w:asciiTheme="minorHAnsi" w:hAnsiTheme="minorHAnsi"/>
          <w:sz w:val="22"/>
          <w:lang w:val="es-CR" w:eastAsia="es-CR"/>
        </w:rPr>
        <w:t xml:space="preserve"> tarifas del Seguro Obligatorio de Automóviles (SOA)</w:t>
      </w:r>
      <w:r w:rsidR="00090F51" w:rsidRPr="00075448">
        <w:rPr>
          <w:rFonts w:asciiTheme="minorHAnsi" w:hAnsiTheme="minorHAnsi"/>
          <w:sz w:val="22"/>
          <w:lang w:val="es-CR" w:eastAsia="es-CR"/>
        </w:rPr>
        <w:t>,</w:t>
      </w:r>
      <w:r w:rsidR="00295DB1" w:rsidRPr="00075448">
        <w:rPr>
          <w:rFonts w:asciiTheme="minorHAnsi" w:hAnsiTheme="minorHAnsi"/>
          <w:sz w:val="22"/>
          <w:lang w:val="es-CR" w:eastAsia="es-CR"/>
        </w:rPr>
        <w:t xml:space="preserve"> </w:t>
      </w:r>
      <w:r w:rsidR="00090F51" w:rsidRPr="00075448">
        <w:rPr>
          <w:rFonts w:asciiTheme="minorHAnsi" w:hAnsiTheme="minorHAnsi"/>
          <w:sz w:val="22"/>
          <w:lang w:val="es-CR" w:eastAsia="es-CR"/>
        </w:rPr>
        <w:t>correspondientes a</w:t>
      </w:r>
      <w:r w:rsidR="00AA6890" w:rsidRPr="00075448">
        <w:rPr>
          <w:rFonts w:asciiTheme="minorHAnsi" w:hAnsiTheme="minorHAnsi"/>
          <w:sz w:val="22"/>
          <w:lang w:val="es-CR" w:eastAsia="es-CR"/>
        </w:rPr>
        <w:t>l</w:t>
      </w:r>
      <w:r w:rsidR="00295DB1" w:rsidRPr="00075448">
        <w:rPr>
          <w:rFonts w:asciiTheme="minorHAnsi" w:hAnsiTheme="minorHAnsi"/>
          <w:sz w:val="22"/>
          <w:lang w:val="es-CR" w:eastAsia="es-CR"/>
        </w:rPr>
        <w:t xml:space="preserve"> período 201</w:t>
      </w:r>
      <w:r w:rsidR="00E5574D" w:rsidRPr="00075448">
        <w:rPr>
          <w:rFonts w:asciiTheme="minorHAnsi" w:hAnsiTheme="minorHAnsi"/>
          <w:sz w:val="22"/>
          <w:lang w:val="es-CR" w:eastAsia="es-CR"/>
        </w:rPr>
        <w:t>8</w:t>
      </w:r>
      <w:r w:rsidR="000868BC">
        <w:rPr>
          <w:rFonts w:asciiTheme="minorHAnsi" w:hAnsiTheme="minorHAnsi"/>
          <w:sz w:val="22"/>
          <w:lang w:val="es-CR" w:eastAsia="es-CR"/>
        </w:rPr>
        <w:t xml:space="preserve"> (ver cuadro #1)</w:t>
      </w:r>
      <w:r w:rsidRPr="00075448">
        <w:rPr>
          <w:rFonts w:asciiTheme="minorHAnsi" w:hAnsiTheme="minorHAnsi"/>
          <w:sz w:val="22"/>
          <w:lang w:val="es-CR" w:eastAsia="es-CR"/>
        </w:rPr>
        <w:t>, solicitadas por el Instituto Nacional de Seguros (INS)</w:t>
      </w:r>
      <w:r w:rsidR="005741EF" w:rsidRPr="00075448">
        <w:rPr>
          <w:rFonts w:asciiTheme="minorHAnsi" w:hAnsiTheme="minorHAnsi"/>
          <w:sz w:val="22"/>
          <w:lang w:val="es-CR" w:eastAsia="es-CR"/>
        </w:rPr>
        <w:t xml:space="preserve">, </w:t>
      </w:r>
      <w:r w:rsidR="00673FCD" w:rsidRPr="00075448">
        <w:rPr>
          <w:rFonts w:asciiTheme="minorHAnsi" w:hAnsiTheme="minorHAnsi"/>
          <w:sz w:val="22"/>
          <w:lang w:val="es-CR" w:eastAsia="es-CR"/>
        </w:rPr>
        <w:t xml:space="preserve">entidad que </w:t>
      </w:r>
      <w:r w:rsidR="00E5574D" w:rsidRPr="00075448">
        <w:rPr>
          <w:rFonts w:asciiTheme="minorHAnsi" w:hAnsiTheme="minorHAnsi"/>
          <w:sz w:val="22"/>
          <w:lang w:val="es-CR" w:eastAsia="es-CR"/>
        </w:rPr>
        <w:t xml:space="preserve">continúa siendo </w:t>
      </w:r>
      <w:r w:rsidR="00673FCD" w:rsidRPr="00075448">
        <w:rPr>
          <w:rFonts w:asciiTheme="minorHAnsi" w:hAnsiTheme="minorHAnsi"/>
          <w:sz w:val="22"/>
          <w:lang w:val="es-CR" w:eastAsia="es-CR"/>
        </w:rPr>
        <w:t>la única oferente de</w:t>
      </w:r>
      <w:r w:rsidR="00E5574D" w:rsidRPr="00075448">
        <w:rPr>
          <w:rFonts w:asciiTheme="minorHAnsi" w:hAnsiTheme="minorHAnsi"/>
          <w:sz w:val="22"/>
          <w:lang w:val="es-CR" w:eastAsia="es-CR"/>
        </w:rPr>
        <w:t xml:space="preserve"> este producto hasta el momento.</w:t>
      </w:r>
    </w:p>
    <w:p w:rsidR="00B75387" w:rsidRPr="00075448" w:rsidRDefault="000868BC" w:rsidP="00B75387">
      <w:pPr>
        <w:jc w:val="both"/>
        <w:rPr>
          <w:rFonts w:asciiTheme="minorHAnsi" w:hAnsiTheme="minorHAnsi"/>
          <w:sz w:val="22"/>
          <w:lang w:val="es-CR" w:eastAsia="es-CR"/>
        </w:rPr>
      </w:pPr>
      <w:r>
        <w:rPr>
          <w:rFonts w:asciiTheme="minorHAnsi" w:hAnsiTheme="minorHAnsi"/>
          <w:sz w:val="22"/>
          <w:lang w:val="es-CR" w:eastAsia="es-CR"/>
        </w:rPr>
        <w:t>L</w:t>
      </w:r>
      <w:r w:rsidR="00B75387" w:rsidRPr="00075448">
        <w:rPr>
          <w:rFonts w:asciiTheme="minorHAnsi" w:hAnsiTheme="minorHAnsi"/>
          <w:sz w:val="22"/>
          <w:lang w:val="es-CR" w:eastAsia="es-CR"/>
        </w:rPr>
        <w:t>a alta siniestralidad en algunos de las clases de vehículos</w:t>
      </w:r>
      <w:r w:rsidR="008754D4" w:rsidRPr="00075448">
        <w:rPr>
          <w:rFonts w:asciiTheme="minorHAnsi" w:hAnsiTheme="minorHAnsi"/>
          <w:sz w:val="22"/>
          <w:lang w:val="es-CR" w:eastAsia="es-CR"/>
        </w:rPr>
        <w:t xml:space="preserve"> (ver cuadro #2)</w:t>
      </w:r>
      <w:r w:rsidR="00B75387" w:rsidRPr="00075448">
        <w:rPr>
          <w:rFonts w:asciiTheme="minorHAnsi" w:hAnsiTheme="minorHAnsi"/>
          <w:sz w:val="22"/>
          <w:lang w:val="es-CR" w:eastAsia="es-CR"/>
        </w:rPr>
        <w:t>, ameritaron un aumento en las primas, siendo las más significativas las co</w:t>
      </w:r>
      <w:r>
        <w:rPr>
          <w:rFonts w:asciiTheme="minorHAnsi" w:hAnsiTheme="minorHAnsi"/>
          <w:sz w:val="22"/>
          <w:lang w:val="es-CR" w:eastAsia="es-CR"/>
        </w:rPr>
        <w:t xml:space="preserve">rrespondientes a motos y </w:t>
      </w:r>
      <w:proofErr w:type="spellStart"/>
      <w:r>
        <w:rPr>
          <w:rFonts w:asciiTheme="minorHAnsi" w:hAnsiTheme="minorHAnsi"/>
          <w:sz w:val="22"/>
          <w:lang w:val="es-CR" w:eastAsia="es-CR"/>
        </w:rPr>
        <w:t>bicimo</w:t>
      </w:r>
      <w:r w:rsidR="00B75387" w:rsidRPr="00075448">
        <w:rPr>
          <w:rFonts w:asciiTheme="minorHAnsi" w:hAnsiTheme="minorHAnsi"/>
          <w:sz w:val="22"/>
          <w:lang w:val="es-CR" w:eastAsia="es-CR"/>
        </w:rPr>
        <w:t>tos</w:t>
      </w:r>
      <w:proofErr w:type="spellEnd"/>
      <w:r w:rsidR="00B75387" w:rsidRPr="00075448">
        <w:rPr>
          <w:rFonts w:asciiTheme="minorHAnsi" w:hAnsiTheme="minorHAnsi"/>
          <w:sz w:val="22"/>
          <w:lang w:val="es-CR" w:eastAsia="es-CR"/>
        </w:rPr>
        <w:t xml:space="preserve"> con un 15% más (¢9.296) y </w:t>
      </w:r>
      <w:r w:rsidR="008754D4" w:rsidRPr="00075448">
        <w:rPr>
          <w:rFonts w:asciiTheme="minorHAnsi" w:hAnsiTheme="minorHAnsi"/>
          <w:sz w:val="22"/>
          <w:lang w:val="es-CR" w:eastAsia="es-CR"/>
        </w:rPr>
        <w:t xml:space="preserve">las de equipo especial con </w:t>
      </w:r>
      <w:r w:rsidR="00B75387" w:rsidRPr="00075448">
        <w:rPr>
          <w:rFonts w:asciiTheme="minorHAnsi" w:hAnsiTheme="minorHAnsi"/>
          <w:sz w:val="22"/>
          <w:lang w:val="es-CR" w:eastAsia="es-CR"/>
        </w:rPr>
        <w:t>un 34% (</w:t>
      </w:r>
      <w:r w:rsidR="008754D4" w:rsidRPr="00075448">
        <w:rPr>
          <w:rFonts w:asciiTheme="minorHAnsi" w:hAnsiTheme="minorHAnsi"/>
          <w:sz w:val="22"/>
          <w:lang w:val="es-CR" w:eastAsia="es-CR"/>
        </w:rPr>
        <w:t>¢</w:t>
      </w:r>
      <w:r w:rsidR="00B75387" w:rsidRPr="00075448">
        <w:rPr>
          <w:rFonts w:asciiTheme="minorHAnsi" w:hAnsiTheme="minorHAnsi"/>
          <w:sz w:val="22"/>
          <w:lang w:val="es-CR"/>
        </w:rPr>
        <w:t>1702</w:t>
      </w:r>
      <w:r w:rsidR="008754D4" w:rsidRPr="00075448">
        <w:rPr>
          <w:rFonts w:asciiTheme="minorHAnsi" w:hAnsiTheme="minorHAnsi"/>
          <w:sz w:val="22"/>
          <w:lang w:val="es-CR" w:eastAsia="es-CR"/>
        </w:rPr>
        <w:t>).</w:t>
      </w:r>
      <w:r w:rsidR="00B75387" w:rsidRPr="00075448">
        <w:rPr>
          <w:rFonts w:asciiTheme="minorHAnsi" w:hAnsiTheme="minorHAnsi"/>
          <w:sz w:val="22"/>
          <w:lang w:val="es-CR" w:eastAsia="es-CR"/>
        </w:rPr>
        <w:t xml:space="preserve"> </w:t>
      </w:r>
      <w:r w:rsidR="008754D4" w:rsidRPr="00075448">
        <w:rPr>
          <w:rFonts w:asciiTheme="minorHAnsi" w:hAnsiTheme="minorHAnsi"/>
          <w:sz w:val="22"/>
          <w:lang w:val="es-CR" w:eastAsia="es-CR"/>
        </w:rPr>
        <w:t xml:space="preserve">Contrario a esto, los vehículos particulares presentan una disminución del 1.3% con respecto al SOA 2016. </w:t>
      </w:r>
      <w:r w:rsidR="00EE33D8" w:rsidRPr="00075448">
        <w:rPr>
          <w:rFonts w:asciiTheme="minorHAnsi" w:hAnsiTheme="minorHAnsi"/>
          <w:sz w:val="22"/>
          <w:lang w:val="es-CR" w:eastAsia="es-CR"/>
        </w:rPr>
        <w:t xml:space="preserve">Para todas las categorías vehiculares se mantiene la cobertura de 6 millones de colones por persona, la cual podría duplicarse en casos especiales como menores de edad o bien dependiendo del grado de incapacidad parcial o total ocurrida. </w:t>
      </w:r>
    </w:p>
    <w:p w:rsidR="00C87545" w:rsidRPr="00075448" w:rsidRDefault="00C87545" w:rsidP="00673FCD">
      <w:pPr>
        <w:jc w:val="both"/>
        <w:rPr>
          <w:rFonts w:asciiTheme="minorHAnsi" w:hAnsiTheme="minorHAnsi"/>
          <w:sz w:val="22"/>
          <w:lang w:val="es-CR" w:eastAsia="es-CR"/>
        </w:rPr>
      </w:pPr>
    </w:p>
    <w:p w:rsidR="00673FCD" w:rsidRPr="00075448" w:rsidRDefault="008754D4" w:rsidP="00676840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 w:val="22"/>
          <w:lang w:val="es-CR" w:eastAsia="es-CR"/>
        </w:rPr>
      </w:pPr>
      <w:r w:rsidRPr="00075448">
        <w:rPr>
          <w:rFonts w:asciiTheme="minorHAnsi" w:hAnsiTheme="minorHAnsi"/>
          <w:i/>
          <w:sz w:val="22"/>
          <w:lang w:val="es-CR" w:eastAsia="es-CR"/>
        </w:rPr>
        <w:t>“</w:t>
      </w:r>
      <w:r w:rsidR="001960EC">
        <w:rPr>
          <w:rFonts w:asciiTheme="minorHAnsi" w:hAnsiTheme="minorHAnsi"/>
          <w:i/>
          <w:sz w:val="22"/>
          <w:lang w:val="es-CR" w:eastAsia="es-CR"/>
        </w:rPr>
        <w:t xml:space="preserve">Los datos de accidentes, fallecidos y lesionados se han incrementado en más de un 11% al mes de setiembre de 2017. Así las cosas, se proyecta que al cerrar el año los lesionados por accidentes de tránsito podrían </w:t>
      </w:r>
      <w:r w:rsidR="00B00CBB">
        <w:rPr>
          <w:rFonts w:asciiTheme="minorHAnsi" w:hAnsiTheme="minorHAnsi"/>
          <w:i/>
          <w:sz w:val="22"/>
          <w:lang w:val="es-CR" w:eastAsia="es-CR"/>
        </w:rPr>
        <w:t xml:space="preserve">superar los 34 mil. Sin duda esa cifra </w:t>
      </w:r>
      <w:r w:rsidR="0062043B">
        <w:rPr>
          <w:rFonts w:asciiTheme="minorHAnsi" w:hAnsiTheme="minorHAnsi"/>
          <w:i/>
          <w:sz w:val="22"/>
          <w:lang w:val="es-CR" w:eastAsia="es-CR"/>
        </w:rPr>
        <w:t xml:space="preserve">es </w:t>
      </w:r>
      <w:r w:rsidR="00B00CBB">
        <w:rPr>
          <w:rFonts w:asciiTheme="minorHAnsi" w:hAnsiTheme="minorHAnsi"/>
          <w:i/>
          <w:sz w:val="22"/>
          <w:lang w:val="es-CR" w:eastAsia="es-CR"/>
        </w:rPr>
        <w:t>preocupante que debe llamar a la reflexión. El respeto a las regulaciones de tránsito, la paciencia y prudencia al conducir constituyen factores críticos para reducir estos números y evitar tanto dolor en las familias de nuestro país.”</w:t>
      </w:r>
      <w:r w:rsidR="00F924D1" w:rsidRPr="00075448">
        <w:rPr>
          <w:rFonts w:asciiTheme="minorHAnsi" w:hAnsiTheme="minorHAnsi"/>
          <w:i/>
          <w:sz w:val="22"/>
          <w:lang w:val="es-CR" w:eastAsia="es-CR"/>
        </w:rPr>
        <w:t xml:space="preserve">, </w:t>
      </w:r>
      <w:r w:rsidRPr="00075448">
        <w:rPr>
          <w:rFonts w:asciiTheme="minorHAnsi" w:hAnsiTheme="minorHAnsi"/>
          <w:sz w:val="22"/>
          <w:lang w:val="es-CR" w:eastAsia="es-CR"/>
        </w:rPr>
        <w:t>recalcó</w:t>
      </w:r>
      <w:r w:rsidR="00F924D1" w:rsidRPr="00075448">
        <w:rPr>
          <w:rFonts w:asciiTheme="minorHAnsi" w:hAnsiTheme="minorHAnsi"/>
          <w:sz w:val="22"/>
          <w:lang w:val="es-CR" w:eastAsia="es-CR"/>
        </w:rPr>
        <w:t xml:space="preserve"> el Superintendente de Seguros Tomás Soley Pérez.</w:t>
      </w:r>
    </w:p>
    <w:p w:rsidR="008754D4" w:rsidRPr="00075448" w:rsidRDefault="008754D4" w:rsidP="00D141D8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 w:val="22"/>
          <w:lang w:val="es-CR" w:eastAsia="es-CR"/>
        </w:rPr>
      </w:pPr>
      <w:r w:rsidRPr="00075448">
        <w:rPr>
          <w:rFonts w:asciiTheme="minorHAnsi" w:hAnsiTheme="minorHAnsi"/>
          <w:sz w:val="22"/>
          <w:lang w:val="es-CR" w:eastAsia="es-CR"/>
        </w:rPr>
        <w:t>Con respecto al 2016, durante este año se p</w:t>
      </w:r>
      <w:r w:rsidR="000868BC">
        <w:rPr>
          <w:rFonts w:asciiTheme="minorHAnsi" w:hAnsiTheme="minorHAnsi"/>
          <w:sz w:val="22"/>
          <w:lang w:val="es-CR" w:eastAsia="es-CR"/>
        </w:rPr>
        <w:t xml:space="preserve">resentaron </w:t>
      </w:r>
      <w:r w:rsidRPr="00075448">
        <w:rPr>
          <w:rFonts w:asciiTheme="minorHAnsi" w:hAnsiTheme="minorHAnsi"/>
          <w:sz w:val="22"/>
          <w:lang w:val="es-CR" w:eastAsia="es-CR"/>
        </w:rPr>
        <w:t xml:space="preserve">2428 accidentes de tránsito </w:t>
      </w:r>
      <w:r w:rsidR="00EE6580" w:rsidRPr="00075448">
        <w:rPr>
          <w:rFonts w:asciiTheme="minorHAnsi" w:hAnsiTheme="minorHAnsi"/>
          <w:sz w:val="22"/>
          <w:lang w:val="es-CR" w:eastAsia="es-CR"/>
        </w:rPr>
        <w:t>más, de los cuales 1854 se produjeron con motocicletas. Asimismo, la cantidad de lesionados</w:t>
      </w:r>
      <w:r w:rsidR="0095669F">
        <w:rPr>
          <w:rFonts w:asciiTheme="minorHAnsi" w:hAnsiTheme="minorHAnsi"/>
          <w:sz w:val="22"/>
          <w:lang w:val="es-CR" w:eastAsia="es-CR"/>
        </w:rPr>
        <w:t xml:space="preserve"> </w:t>
      </w:r>
      <w:r w:rsidR="00EE33D8" w:rsidRPr="00075448">
        <w:rPr>
          <w:rFonts w:asciiTheme="minorHAnsi" w:hAnsiTheme="minorHAnsi"/>
          <w:sz w:val="22"/>
          <w:lang w:val="es-CR" w:eastAsia="es-CR"/>
        </w:rPr>
        <w:t xml:space="preserve">disminuyó en </w:t>
      </w:r>
      <w:r w:rsidR="0095669F">
        <w:rPr>
          <w:rFonts w:asciiTheme="minorHAnsi" w:hAnsiTheme="minorHAnsi"/>
          <w:sz w:val="22"/>
          <w:lang w:val="es-CR" w:eastAsia="es-CR"/>
        </w:rPr>
        <w:t>casi un 2%</w:t>
      </w:r>
      <w:r w:rsidR="00EE33D8" w:rsidRPr="00075448">
        <w:rPr>
          <w:rFonts w:asciiTheme="minorHAnsi" w:hAnsiTheme="minorHAnsi"/>
          <w:sz w:val="22"/>
          <w:lang w:val="es-CR" w:eastAsia="es-CR"/>
        </w:rPr>
        <w:t xml:space="preserve"> para los conductores de vehículos particulares, pero </w:t>
      </w:r>
      <w:r w:rsidR="00EE6580" w:rsidRPr="00075448">
        <w:rPr>
          <w:rFonts w:asciiTheme="minorHAnsi" w:hAnsiTheme="minorHAnsi"/>
          <w:sz w:val="22"/>
          <w:lang w:val="es-CR" w:eastAsia="es-CR"/>
        </w:rPr>
        <w:t xml:space="preserve">aumentó en </w:t>
      </w:r>
      <w:r w:rsidR="0095669F">
        <w:rPr>
          <w:rFonts w:asciiTheme="minorHAnsi" w:hAnsiTheme="minorHAnsi"/>
          <w:sz w:val="22"/>
          <w:lang w:val="es-CR" w:eastAsia="es-CR"/>
        </w:rPr>
        <w:t>más de un 16%</w:t>
      </w:r>
      <w:r w:rsidR="00EE6580" w:rsidRPr="00075448">
        <w:rPr>
          <w:rFonts w:asciiTheme="minorHAnsi" w:hAnsiTheme="minorHAnsi"/>
          <w:sz w:val="22"/>
          <w:lang w:val="es-CR" w:eastAsia="es-CR"/>
        </w:rPr>
        <w:t xml:space="preserve"> para </w:t>
      </w:r>
      <w:r w:rsidR="00EE33D8" w:rsidRPr="00075448">
        <w:rPr>
          <w:rFonts w:asciiTheme="minorHAnsi" w:hAnsiTheme="minorHAnsi"/>
          <w:sz w:val="22"/>
          <w:lang w:val="es-CR" w:eastAsia="es-CR"/>
        </w:rPr>
        <w:t xml:space="preserve">los </w:t>
      </w:r>
      <w:r w:rsidR="00EE6580" w:rsidRPr="00075448">
        <w:rPr>
          <w:rFonts w:asciiTheme="minorHAnsi" w:hAnsiTheme="minorHAnsi"/>
          <w:sz w:val="22"/>
          <w:lang w:val="es-CR" w:eastAsia="es-CR"/>
        </w:rPr>
        <w:t>motociclistas</w:t>
      </w:r>
      <w:r w:rsidR="0095669F">
        <w:rPr>
          <w:rFonts w:asciiTheme="minorHAnsi" w:hAnsiTheme="minorHAnsi"/>
          <w:sz w:val="22"/>
          <w:lang w:val="es-CR" w:eastAsia="es-CR"/>
        </w:rPr>
        <w:t xml:space="preserve">. </w:t>
      </w:r>
    </w:p>
    <w:p w:rsidR="00086F5A" w:rsidRPr="00075448" w:rsidRDefault="00A065FE" w:rsidP="00D141D8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 w:val="22"/>
          <w:lang w:val="es-CR" w:eastAsia="es-CR"/>
        </w:rPr>
      </w:pPr>
      <w:r w:rsidRPr="00075448">
        <w:rPr>
          <w:rFonts w:asciiTheme="minorHAnsi" w:hAnsiTheme="minorHAnsi"/>
          <w:sz w:val="22"/>
          <w:lang w:val="es-CR" w:eastAsia="es-CR"/>
        </w:rPr>
        <w:t>E</w:t>
      </w:r>
      <w:r w:rsidR="00086F5A" w:rsidRPr="00075448">
        <w:rPr>
          <w:rFonts w:asciiTheme="minorHAnsi" w:hAnsiTheme="minorHAnsi"/>
          <w:sz w:val="22"/>
          <w:lang w:val="es-CR" w:eastAsia="es-CR"/>
        </w:rPr>
        <w:t>l S</w:t>
      </w:r>
      <w:r w:rsidR="00D141D8" w:rsidRPr="00075448">
        <w:rPr>
          <w:rFonts w:asciiTheme="minorHAnsi" w:hAnsiTheme="minorHAnsi"/>
          <w:sz w:val="22"/>
          <w:lang w:val="es-CR" w:eastAsia="es-CR"/>
        </w:rPr>
        <w:t xml:space="preserve">OA </w:t>
      </w:r>
      <w:r w:rsidRPr="00075448">
        <w:rPr>
          <w:rFonts w:asciiTheme="minorHAnsi" w:hAnsiTheme="minorHAnsi"/>
          <w:sz w:val="22"/>
          <w:lang w:val="es-CR" w:eastAsia="es-CR"/>
        </w:rPr>
        <w:t>es el segundo c</w:t>
      </w:r>
      <w:r w:rsidR="00086F5A" w:rsidRPr="00075448">
        <w:rPr>
          <w:rFonts w:asciiTheme="minorHAnsi" w:hAnsiTheme="minorHAnsi"/>
          <w:sz w:val="22"/>
          <w:lang w:val="es-CR" w:eastAsia="es-CR"/>
        </w:rPr>
        <w:t>omponente</w:t>
      </w:r>
      <w:r w:rsidRPr="00075448">
        <w:rPr>
          <w:rFonts w:asciiTheme="minorHAnsi" w:hAnsiTheme="minorHAnsi"/>
          <w:sz w:val="22"/>
          <w:lang w:val="es-CR" w:eastAsia="es-CR"/>
        </w:rPr>
        <w:t xml:space="preserve"> en importancia</w:t>
      </w:r>
      <w:r w:rsidR="00086F5A" w:rsidRPr="00075448">
        <w:rPr>
          <w:rFonts w:asciiTheme="minorHAnsi" w:hAnsiTheme="minorHAnsi"/>
          <w:sz w:val="22"/>
          <w:lang w:val="es-CR" w:eastAsia="es-CR"/>
        </w:rPr>
        <w:t xml:space="preserve"> del marchamo</w:t>
      </w:r>
      <w:r w:rsidRPr="00075448">
        <w:rPr>
          <w:rFonts w:asciiTheme="minorHAnsi" w:hAnsiTheme="minorHAnsi"/>
          <w:sz w:val="22"/>
          <w:lang w:val="es-CR" w:eastAsia="es-CR"/>
        </w:rPr>
        <w:t xml:space="preserve"> </w:t>
      </w:r>
      <w:r w:rsidR="00086F5A" w:rsidRPr="00075448">
        <w:rPr>
          <w:rFonts w:asciiTheme="minorHAnsi" w:hAnsiTheme="minorHAnsi"/>
          <w:sz w:val="22"/>
          <w:lang w:val="es-CR" w:eastAsia="es-CR"/>
        </w:rPr>
        <w:t xml:space="preserve">y no </w:t>
      </w:r>
      <w:r w:rsidRPr="00075448">
        <w:rPr>
          <w:rFonts w:asciiTheme="minorHAnsi" w:hAnsiTheme="minorHAnsi"/>
          <w:sz w:val="22"/>
          <w:lang w:val="es-CR" w:eastAsia="es-CR"/>
        </w:rPr>
        <w:t>corresponde al monto total de</w:t>
      </w:r>
      <w:r w:rsidR="00086F5A" w:rsidRPr="00075448">
        <w:rPr>
          <w:rFonts w:asciiTheme="minorHAnsi" w:hAnsiTheme="minorHAnsi"/>
          <w:sz w:val="22"/>
          <w:lang w:val="es-CR" w:eastAsia="es-CR"/>
        </w:rPr>
        <w:t>l cobro por derecho de circulación de la flota vehicular</w:t>
      </w:r>
      <w:r w:rsidR="008754D4" w:rsidRPr="00075448">
        <w:rPr>
          <w:rFonts w:asciiTheme="minorHAnsi" w:hAnsiTheme="minorHAnsi"/>
          <w:sz w:val="22"/>
          <w:lang w:val="es-CR" w:eastAsia="es-CR"/>
        </w:rPr>
        <w:t>, conocido como marchamo</w:t>
      </w:r>
      <w:r w:rsidR="00086F5A" w:rsidRPr="00075448">
        <w:rPr>
          <w:rFonts w:asciiTheme="minorHAnsi" w:hAnsiTheme="minorHAnsi"/>
          <w:sz w:val="22"/>
          <w:lang w:val="es-CR" w:eastAsia="es-CR"/>
        </w:rPr>
        <w:t xml:space="preserve">, </w:t>
      </w:r>
      <w:r w:rsidRPr="00075448">
        <w:rPr>
          <w:rFonts w:asciiTheme="minorHAnsi" w:hAnsiTheme="minorHAnsi"/>
          <w:sz w:val="22"/>
          <w:lang w:val="es-CR" w:eastAsia="es-CR"/>
        </w:rPr>
        <w:t>dado que se incluye el</w:t>
      </w:r>
      <w:r w:rsidR="00086F5A" w:rsidRPr="00075448">
        <w:rPr>
          <w:rFonts w:asciiTheme="minorHAnsi" w:hAnsiTheme="minorHAnsi"/>
          <w:sz w:val="22"/>
          <w:lang w:val="es-CR" w:eastAsia="es-CR"/>
        </w:rPr>
        <w:t xml:space="preserve"> impuesto </w:t>
      </w:r>
      <w:r w:rsidR="00D141D8" w:rsidRPr="00075448">
        <w:rPr>
          <w:rFonts w:asciiTheme="minorHAnsi" w:hAnsiTheme="minorHAnsi"/>
          <w:sz w:val="22"/>
          <w:lang w:val="es-CR" w:eastAsia="es-CR"/>
        </w:rPr>
        <w:t>a la propiedad del vehículo,</w:t>
      </w:r>
      <w:bookmarkStart w:id="0" w:name="_GoBack"/>
      <w:bookmarkEnd w:id="0"/>
      <w:r w:rsidR="00D141D8" w:rsidRPr="00075448">
        <w:rPr>
          <w:rFonts w:asciiTheme="minorHAnsi" w:hAnsiTheme="minorHAnsi"/>
          <w:sz w:val="22"/>
          <w:lang w:val="es-CR" w:eastAsia="es-CR"/>
        </w:rPr>
        <w:t xml:space="preserve"> impuesto del Consejo de Seguridad Vial (COSEVI), municipalidades,</w:t>
      </w:r>
      <w:r w:rsidR="00086F5A" w:rsidRPr="00075448">
        <w:rPr>
          <w:rFonts w:asciiTheme="minorHAnsi" w:hAnsiTheme="minorHAnsi"/>
          <w:sz w:val="22"/>
          <w:lang w:val="es-CR" w:eastAsia="es-CR"/>
        </w:rPr>
        <w:t xml:space="preserve"> multas</w:t>
      </w:r>
      <w:r w:rsidRPr="00075448">
        <w:rPr>
          <w:rFonts w:asciiTheme="minorHAnsi" w:hAnsiTheme="minorHAnsi"/>
          <w:sz w:val="22"/>
          <w:lang w:val="es-CR" w:eastAsia="es-CR"/>
        </w:rPr>
        <w:t>, timbre</w:t>
      </w:r>
      <w:r w:rsidR="00D141D8" w:rsidRPr="00075448">
        <w:rPr>
          <w:rFonts w:asciiTheme="minorHAnsi" w:hAnsiTheme="minorHAnsi"/>
          <w:sz w:val="22"/>
          <w:lang w:val="es-CR" w:eastAsia="es-CR"/>
        </w:rPr>
        <w:t xml:space="preserve"> de fauna silvestre, entre otros.</w:t>
      </w:r>
      <w:r w:rsidR="00B92F36" w:rsidRPr="00075448">
        <w:rPr>
          <w:rFonts w:asciiTheme="minorHAnsi" w:hAnsiTheme="minorHAnsi"/>
          <w:sz w:val="22"/>
          <w:lang w:val="es-CR" w:eastAsia="es-CR"/>
        </w:rPr>
        <w:t xml:space="preserve"> </w:t>
      </w:r>
    </w:p>
    <w:p w:rsidR="00D141D8" w:rsidRPr="00075448" w:rsidRDefault="00086F5A" w:rsidP="00D141D8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 w:val="22"/>
          <w:lang w:val="es-CR" w:eastAsia="es-CR"/>
        </w:rPr>
      </w:pPr>
      <w:r w:rsidRPr="00075448">
        <w:rPr>
          <w:rFonts w:asciiTheme="minorHAnsi" w:hAnsiTheme="minorHAnsi"/>
          <w:sz w:val="22"/>
          <w:lang w:val="es-CR" w:eastAsia="es-CR"/>
        </w:rPr>
        <w:t>S</w:t>
      </w:r>
      <w:r w:rsidR="00051A05" w:rsidRPr="00075448">
        <w:rPr>
          <w:rFonts w:asciiTheme="minorHAnsi" w:hAnsiTheme="minorHAnsi"/>
          <w:sz w:val="22"/>
          <w:lang w:val="es-CR" w:eastAsia="es-CR"/>
        </w:rPr>
        <w:t xml:space="preserve">e les recuerda a </w:t>
      </w:r>
      <w:r w:rsidR="009D1429" w:rsidRPr="00075448">
        <w:rPr>
          <w:rFonts w:asciiTheme="minorHAnsi" w:hAnsiTheme="minorHAnsi"/>
          <w:sz w:val="22"/>
          <w:lang w:val="es-CR" w:eastAsia="es-CR"/>
        </w:rPr>
        <w:t xml:space="preserve">las personas que tengan algún inconveniente al momento de hacer uso del </w:t>
      </w:r>
      <w:r w:rsidRPr="00075448">
        <w:rPr>
          <w:rFonts w:asciiTheme="minorHAnsi" w:hAnsiTheme="minorHAnsi"/>
          <w:sz w:val="22"/>
          <w:lang w:val="es-CR" w:eastAsia="es-CR"/>
        </w:rPr>
        <w:t>SOA,</w:t>
      </w:r>
      <w:r w:rsidR="009D1429" w:rsidRPr="00075448">
        <w:rPr>
          <w:rFonts w:asciiTheme="minorHAnsi" w:hAnsiTheme="minorHAnsi"/>
          <w:sz w:val="22"/>
          <w:lang w:val="es-CR" w:eastAsia="es-CR"/>
        </w:rPr>
        <w:t xml:space="preserve"> que pueden plantear sus denuncias y consultas </w:t>
      </w:r>
      <w:r w:rsidRPr="00075448">
        <w:rPr>
          <w:rFonts w:asciiTheme="minorHAnsi" w:hAnsiTheme="minorHAnsi"/>
          <w:sz w:val="22"/>
          <w:lang w:val="es-CR" w:eastAsia="es-CR"/>
        </w:rPr>
        <w:t xml:space="preserve">en primera instancia a la Defensoría del Consumidor de Seguros del INS, a los </w:t>
      </w:r>
      <w:r w:rsidR="00D141D8" w:rsidRPr="00075448">
        <w:rPr>
          <w:rFonts w:asciiTheme="minorHAnsi" w:hAnsiTheme="minorHAnsi"/>
          <w:sz w:val="22"/>
          <w:lang w:val="es-CR" w:eastAsia="es-CR"/>
        </w:rPr>
        <w:t>teléfono</w:t>
      </w:r>
      <w:r w:rsidRPr="00075448">
        <w:rPr>
          <w:rFonts w:asciiTheme="minorHAnsi" w:hAnsiTheme="minorHAnsi"/>
          <w:sz w:val="22"/>
          <w:lang w:val="es-CR" w:eastAsia="es-CR"/>
        </w:rPr>
        <w:t>s</w:t>
      </w:r>
      <w:r w:rsidR="00D141D8" w:rsidRPr="00075448">
        <w:rPr>
          <w:rFonts w:asciiTheme="minorHAnsi" w:hAnsiTheme="minorHAnsi"/>
          <w:sz w:val="22"/>
          <w:lang w:val="es-CR" w:eastAsia="es-CR"/>
        </w:rPr>
        <w:t xml:space="preserve"> </w:t>
      </w:r>
      <w:r w:rsidRPr="00075448">
        <w:rPr>
          <w:rFonts w:asciiTheme="minorHAnsi" w:hAnsiTheme="minorHAnsi"/>
          <w:sz w:val="22"/>
          <w:lang w:val="es-CR" w:eastAsia="es-CR"/>
        </w:rPr>
        <w:t>2287-6</w:t>
      </w:r>
      <w:r w:rsidR="00A065FE" w:rsidRPr="00075448">
        <w:rPr>
          <w:rFonts w:asciiTheme="minorHAnsi" w:hAnsiTheme="minorHAnsi"/>
          <w:sz w:val="22"/>
          <w:lang w:val="es-CR" w:eastAsia="es-CR"/>
        </w:rPr>
        <w:t>161 o</w:t>
      </w:r>
      <w:r w:rsidR="00F4039F" w:rsidRPr="00075448">
        <w:rPr>
          <w:rFonts w:asciiTheme="minorHAnsi" w:hAnsiTheme="minorHAnsi"/>
          <w:sz w:val="22"/>
          <w:lang w:val="es-CR" w:eastAsia="es-CR"/>
        </w:rPr>
        <w:t xml:space="preserve"> al correo </w:t>
      </w:r>
      <w:hyperlink r:id="rId8" w:history="1">
        <w:r w:rsidR="00A065FE" w:rsidRPr="00075448">
          <w:rPr>
            <w:rFonts w:asciiTheme="minorHAnsi" w:hAnsiTheme="minorHAnsi" w:cs="Arial"/>
            <w:color w:val="0000FF"/>
            <w:sz w:val="22"/>
            <w:u w:val="single"/>
            <w:shd w:val="clear" w:color="auto" w:fill="FFFFFF"/>
          </w:rPr>
          <w:t>cservicios@ins-cr.com</w:t>
        </w:r>
      </w:hyperlink>
      <w:r w:rsidRPr="00075448">
        <w:rPr>
          <w:rFonts w:asciiTheme="minorHAnsi" w:hAnsiTheme="minorHAnsi"/>
          <w:sz w:val="22"/>
        </w:rPr>
        <w:t>. De persistir el problema, puede comunicarse a l</w:t>
      </w:r>
      <w:r w:rsidR="007E7723" w:rsidRPr="00075448">
        <w:rPr>
          <w:rFonts w:asciiTheme="minorHAnsi" w:hAnsiTheme="minorHAnsi"/>
          <w:sz w:val="22"/>
        </w:rPr>
        <w:t>a Sugese al teléfono 2243-5108 o</w:t>
      </w:r>
      <w:r w:rsidRPr="00075448">
        <w:rPr>
          <w:rFonts w:asciiTheme="minorHAnsi" w:hAnsiTheme="minorHAnsi"/>
          <w:sz w:val="22"/>
        </w:rPr>
        <w:t xml:space="preserve"> al correo </w:t>
      </w:r>
      <w:hyperlink r:id="rId9" w:history="1">
        <w:r w:rsidRPr="00075448">
          <w:rPr>
            <w:rStyle w:val="Hipervnculo"/>
            <w:rFonts w:asciiTheme="minorHAnsi" w:hAnsiTheme="minorHAnsi"/>
            <w:sz w:val="22"/>
          </w:rPr>
          <w:t>sugese@sugese.fi.cr</w:t>
        </w:r>
      </w:hyperlink>
      <w:r w:rsidR="00A065FE" w:rsidRPr="00075448">
        <w:rPr>
          <w:rFonts w:asciiTheme="minorHAnsi" w:hAnsiTheme="minorHAnsi"/>
          <w:sz w:val="22"/>
        </w:rPr>
        <w:t>.</w:t>
      </w:r>
    </w:p>
    <w:p w:rsidR="0095669F" w:rsidRDefault="0095669F" w:rsidP="008754D4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</w:p>
    <w:p w:rsidR="0095669F" w:rsidRDefault="0095669F" w:rsidP="008754D4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</w:p>
    <w:p w:rsidR="000868BC" w:rsidRDefault="000868BC" w:rsidP="008754D4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</w:p>
    <w:p w:rsidR="000868BC" w:rsidRDefault="000868BC" w:rsidP="008754D4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</w:p>
    <w:p w:rsidR="008754D4" w:rsidRPr="000A283F" w:rsidRDefault="008754D4" w:rsidP="008754D4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  <w:r w:rsidRPr="000A283F">
        <w:rPr>
          <w:rFonts w:ascii="Calibri" w:hAnsi="Calibri"/>
          <w:b/>
          <w:sz w:val="22"/>
          <w:szCs w:val="22"/>
          <w:lang w:val="es-CR" w:eastAsia="es-CR"/>
        </w:rPr>
        <w:t>Cuadro #1</w:t>
      </w:r>
    </w:p>
    <w:p w:rsidR="008754D4" w:rsidRDefault="00EE6580" w:rsidP="008754D4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  <w:r>
        <w:rPr>
          <w:rFonts w:ascii="Calibri" w:hAnsi="Calibri"/>
          <w:b/>
          <w:sz w:val="22"/>
          <w:szCs w:val="22"/>
          <w:lang w:val="es-CR" w:eastAsia="es-CR"/>
        </w:rPr>
        <w:t xml:space="preserve">Tarifas autorizadas para el </w:t>
      </w:r>
      <w:r w:rsidR="008754D4" w:rsidRPr="000A283F">
        <w:rPr>
          <w:rFonts w:ascii="Calibri" w:hAnsi="Calibri"/>
          <w:b/>
          <w:sz w:val="22"/>
          <w:szCs w:val="22"/>
          <w:lang w:val="es-CR" w:eastAsia="es-CR"/>
        </w:rPr>
        <w:t xml:space="preserve">Seguro Obligatorio Automotor </w:t>
      </w:r>
      <w:r>
        <w:rPr>
          <w:rFonts w:ascii="Calibri" w:hAnsi="Calibri"/>
          <w:b/>
          <w:sz w:val="22"/>
          <w:szCs w:val="22"/>
          <w:lang w:val="es-CR" w:eastAsia="es-CR"/>
        </w:rPr>
        <w:t xml:space="preserve">(SOA) </w:t>
      </w:r>
      <w:r w:rsidR="008754D4" w:rsidRPr="000A283F">
        <w:rPr>
          <w:rFonts w:ascii="Calibri" w:hAnsi="Calibri"/>
          <w:b/>
          <w:sz w:val="22"/>
          <w:szCs w:val="22"/>
          <w:lang w:val="es-CR" w:eastAsia="es-CR"/>
        </w:rPr>
        <w:t>201</w:t>
      </w:r>
      <w:r w:rsidR="008754D4">
        <w:rPr>
          <w:rFonts w:ascii="Calibri" w:hAnsi="Calibri"/>
          <w:b/>
          <w:sz w:val="22"/>
          <w:szCs w:val="22"/>
          <w:lang w:val="es-CR" w:eastAsia="es-CR"/>
        </w:rPr>
        <w:t>8</w:t>
      </w:r>
    </w:p>
    <w:tbl>
      <w:tblPr>
        <w:tblStyle w:val="Tabladecuadrcula5oscura-nfasis5"/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1200"/>
        <w:gridCol w:w="1388"/>
        <w:gridCol w:w="1281"/>
        <w:gridCol w:w="1961"/>
      </w:tblGrid>
      <w:tr w:rsidR="008754D4" w:rsidRPr="00075448" w:rsidTr="00075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:rsidR="008754D4" w:rsidRPr="00075448" w:rsidRDefault="008754D4" w:rsidP="006A78C5">
            <w:pPr>
              <w:jc w:val="both"/>
              <w:rPr>
                <w:rFonts w:asciiTheme="minorHAnsi" w:hAnsiTheme="minorHAnsi"/>
                <w:b w:val="0"/>
                <w:bCs w:val="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 w:eastAsia="es-CR"/>
              </w:rPr>
              <w:t>Tipo de Vehículo</w:t>
            </w: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:rsidR="008754D4" w:rsidRPr="00075448" w:rsidRDefault="008754D4" w:rsidP="006A78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 w:eastAsia="es-CR"/>
              </w:rPr>
              <w:t>Primas vigentes 201</w:t>
            </w:r>
            <w:r w:rsidRPr="00075448">
              <w:rPr>
                <w:rFonts w:asciiTheme="minorHAnsi" w:hAnsiTheme="minorHAnsi"/>
                <w:b w:val="0"/>
                <w:bCs w:val="0"/>
                <w:sz w:val="22"/>
                <w:szCs w:val="22"/>
                <w:lang w:val="es-CR" w:eastAsia="es-CR"/>
              </w:rPr>
              <w:t>7</w:t>
            </w:r>
          </w:p>
        </w:tc>
        <w:tc>
          <w:tcPr>
            <w:tcW w:w="138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:rsidR="008754D4" w:rsidRPr="00075448" w:rsidRDefault="008754D4" w:rsidP="006A78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 w:eastAsia="es-CR"/>
              </w:rPr>
              <w:t>Primas aprobadas 201</w:t>
            </w:r>
            <w:r w:rsidRPr="00075448">
              <w:rPr>
                <w:rFonts w:asciiTheme="minorHAnsi" w:hAnsiTheme="minorHAnsi"/>
                <w:b w:val="0"/>
                <w:bCs w:val="0"/>
                <w:sz w:val="22"/>
                <w:szCs w:val="22"/>
                <w:lang w:val="es-CR" w:eastAsia="es-CR"/>
              </w:rPr>
              <w:t>8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:rsidR="008754D4" w:rsidRPr="00075448" w:rsidRDefault="008754D4" w:rsidP="006A78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 w:eastAsia="es-CR"/>
              </w:rPr>
              <w:t>Variación absoluta</w:t>
            </w:r>
          </w:p>
        </w:tc>
        <w:tc>
          <w:tcPr>
            <w:tcW w:w="19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:rsidR="008754D4" w:rsidRPr="00075448" w:rsidRDefault="008754D4" w:rsidP="006A78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 w:eastAsia="es-CR"/>
              </w:rPr>
              <w:t>Variación relativa</w:t>
            </w:r>
          </w:p>
        </w:tc>
      </w:tr>
      <w:tr w:rsidR="008754D4" w:rsidRPr="00075448" w:rsidTr="00075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tcBorders>
              <w:left w:val="none" w:sz="0" w:space="0" w:color="auto"/>
            </w:tcBorders>
            <w:hideMark/>
          </w:tcPr>
          <w:p w:rsidR="008754D4" w:rsidRPr="00075448" w:rsidRDefault="008754D4" w:rsidP="006A78C5">
            <w:pPr>
              <w:jc w:val="both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200" w:type="dxa"/>
            <w:hideMark/>
          </w:tcPr>
          <w:p w:rsidR="008754D4" w:rsidRPr="00075448" w:rsidRDefault="008754D4" w:rsidP="006A7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R" w:eastAsia="es-CR"/>
              </w:rPr>
              <w:t>a</w:t>
            </w:r>
          </w:p>
        </w:tc>
        <w:tc>
          <w:tcPr>
            <w:tcW w:w="1388" w:type="dxa"/>
            <w:hideMark/>
          </w:tcPr>
          <w:p w:rsidR="008754D4" w:rsidRPr="00075448" w:rsidRDefault="008754D4" w:rsidP="006A7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R" w:eastAsia="es-CR"/>
              </w:rPr>
              <w:t>b</w:t>
            </w:r>
          </w:p>
        </w:tc>
        <w:tc>
          <w:tcPr>
            <w:tcW w:w="1281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R" w:eastAsia="es-CR"/>
              </w:rPr>
              <w:t>b - a</w:t>
            </w:r>
          </w:p>
        </w:tc>
        <w:tc>
          <w:tcPr>
            <w:tcW w:w="1961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R" w:eastAsia="es-CR"/>
              </w:rPr>
              <w:t>b / a - 1</w:t>
            </w:r>
          </w:p>
        </w:tc>
      </w:tr>
      <w:tr w:rsidR="008754D4" w:rsidRPr="00075448" w:rsidTr="0007544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tcBorders>
              <w:left w:val="none" w:sz="0" w:space="0" w:color="auto"/>
            </w:tcBorders>
            <w:noWrap/>
            <w:hideMark/>
          </w:tcPr>
          <w:p w:rsidR="008754D4" w:rsidRPr="00075448" w:rsidRDefault="008754D4" w:rsidP="006A78C5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  <w:t>Particular</w:t>
            </w:r>
          </w:p>
        </w:tc>
        <w:tc>
          <w:tcPr>
            <w:tcW w:w="1200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¢ 21.654</w:t>
            </w:r>
          </w:p>
        </w:tc>
        <w:tc>
          <w:tcPr>
            <w:tcW w:w="1388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¢ 21.380</w:t>
            </w:r>
          </w:p>
        </w:tc>
        <w:tc>
          <w:tcPr>
            <w:tcW w:w="1281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- ¢ 274</w:t>
            </w:r>
          </w:p>
        </w:tc>
        <w:tc>
          <w:tcPr>
            <w:tcW w:w="1961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-1.3%</w:t>
            </w:r>
          </w:p>
        </w:tc>
      </w:tr>
      <w:tr w:rsidR="008754D4" w:rsidRPr="00075448" w:rsidTr="00075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tcBorders>
              <w:left w:val="none" w:sz="0" w:space="0" w:color="auto"/>
            </w:tcBorders>
            <w:noWrap/>
            <w:hideMark/>
          </w:tcPr>
          <w:p w:rsidR="008754D4" w:rsidRPr="00075448" w:rsidRDefault="008754D4" w:rsidP="006A78C5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  <w:t>Carga Liviana</w:t>
            </w:r>
          </w:p>
        </w:tc>
        <w:tc>
          <w:tcPr>
            <w:tcW w:w="1200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¢ 16.183</w:t>
            </w:r>
          </w:p>
        </w:tc>
        <w:tc>
          <w:tcPr>
            <w:tcW w:w="1388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¢ 16.194</w:t>
            </w:r>
          </w:p>
        </w:tc>
        <w:tc>
          <w:tcPr>
            <w:tcW w:w="1281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¢ 10</w:t>
            </w:r>
          </w:p>
        </w:tc>
        <w:tc>
          <w:tcPr>
            <w:tcW w:w="1961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0.1%</w:t>
            </w:r>
          </w:p>
        </w:tc>
      </w:tr>
      <w:tr w:rsidR="008754D4" w:rsidRPr="00075448" w:rsidTr="0007544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tcBorders>
              <w:left w:val="none" w:sz="0" w:space="0" w:color="auto"/>
            </w:tcBorders>
            <w:noWrap/>
            <w:hideMark/>
          </w:tcPr>
          <w:p w:rsidR="008754D4" w:rsidRPr="00075448" w:rsidRDefault="008754D4" w:rsidP="006A78C5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  <w:t>Carga Pesada</w:t>
            </w:r>
          </w:p>
        </w:tc>
        <w:tc>
          <w:tcPr>
            <w:tcW w:w="1200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¢ 20.307</w:t>
            </w:r>
          </w:p>
        </w:tc>
        <w:tc>
          <w:tcPr>
            <w:tcW w:w="1388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¢ 19.741</w:t>
            </w:r>
          </w:p>
        </w:tc>
        <w:tc>
          <w:tcPr>
            <w:tcW w:w="1281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- ¢ 565</w:t>
            </w:r>
          </w:p>
        </w:tc>
        <w:tc>
          <w:tcPr>
            <w:tcW w:w="1961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-2.8%</w:t>
            </w:r>
          </w:p>
        </w:tc>
      </w:tr>
      <w:tr w:rsidR="008754D4" w:rsidRPr="00075448" w:rsidTr="00075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tcBorders>
              <w:left w:val="none" w:sz="0" w:space="0" w:color="auto"/>
            </w:tcBorders>
            <w:noWrap/>
            <w:hideMark/>
          </w:tcPr>
          <w:p w:rsidR="008754D4" w:rsidRPr="00075448" w:rsidRDefault="008754D4" w:rsidP="006A78C5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  <w:t>Motos y Bicimotos</w:t>
            </w:r>
          </w:p>
        </w:tc>
        <w:tc>
          <w:tcPr>
            <w:tcW w:w="1200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¢ 61.119</w:t>
            </w:r>
          </w:p>
        </w:tc>
        <w:tc>
          <w:tcPr>
            <w:tcW w:w="1388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¢ 70.415</w:t>
            </w:r>
          </w:p>
        </w:tc>
        <w:tc>
          <w:tcPr>
            <w:tcW w:w="1281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¢ 9.296</w:t>
            </w:r>
          </w:p>
        </w:tc>
        <w:tc>
          <w:tcPr>
            <w:tcW w:w="1961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15.2%</w:t>
            </w:r>
          </w:p>
        </w:tc>
      </w:tr>
      <w:tr w:rsidR="008754D4" w:rsidRPr="00075448" w:rsidTr="0007544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tcBorders>
              <w:left w:val="none" w:sz="0" w:space="0" w:color="auto"/>
            </w:tcBorders>
            <w:noWrap/>
            <w:hideMark/>
          </w:tcPr>
          <w:p w:rsidR="008754D4" w:rsidRPr="00075448" w:rsidRDefault="008754D4" w:rsidP="006A78C5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  <w:t>Buses</w:t>
            </w:r>
          </w:p>
        </w:tc>
        <w:tc>
          <w:tcPr>
            <w:tcW w:w="1200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¢ 86.763</w:t>
            </w:r>
          </w:p>
        </w:tc>
        <w:tc>
          <w:tcPr>
            <w:tcW w:w="1388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¢ 86.821</w:t>
            </w:r>
          </w:p>
        </w:tc>
        <w:tc>
          <w:tcPr>
            <w:tcW w:w="1281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¢ 58</w:t>
            </w:r>
          </w:p>
        </w:tc>
        <w:tc>
          <w:tcPr>
            <w:tcW w:w="1961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0.1%</w:t>
            </w:r>
          </w:p>
        </w:tc>
      </w:tr>
      <w:tr w:rsidR="008754D4" w:rsidRPr="00075448" w:rsidTr="00075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tcBorders>
              <w:left w:val="none" w:sz="0" w:space="0" w:color="auto"/>
            </w:tcBorders>
            <w:noWrap/>
            <w:hideMark/>
          </w:tcPr>
          <w:p w:rsidR="008754D4" w:rsidRPr="00075448" w:rsidRDefault="008754D4" w:rsidP="006A78C5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  <w:t>Taxis</w:t>
            </w:r>
          </w:p>
        </w:tc>
        <w:tc>
          <w:tcPr>
            <w:tcW w:w="1200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¢ 61.778</w:t>
            </w:r>
          </w:p>
        </w:tc>
        <w:tc>
          <w:tcPr>
            <w:tcW w:w="1388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¢ 61.900</w:t>
            </w:r>
          </w:p>
        </w:tc>
        <w:tc>
          <w:tcPr>
            <w:tcW w:w="1281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¢ 122</w:t>
            </w:r>
          </w:p>
        </w:tc>
        <w:tc>
          <w:tcPr>
            <w:tcW w:w="1961" w:type="dxa"/>
            <w:noWrap/>
            <w:hideMark/>
          </w:tcPr>
          <w:p w:rsidR="008754D4" w:rsidRPr="00075448" w:rsidRDefault="008754D4" w:rsidP="006A7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0.2%</w:t>
            </w:r>
          </w:p>
        </w:tc>
      </w:tr>
      <w:tr w:rsidR="00075448" w:rsidRPr="00075448" w:rsidTr="00075448">
        <w:tblPrEx>
          <w:jc w:val="left"/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tcBorders>
              <w:left w:val="none" w:sz="0" w:space="0" w:color="auto"/>
            </w:tcBorders>
            <w:noWrap/>
            <w:hideMark/>
          </w:tcPr>
          <w:p w:rsidR="00EE6580" w:rsidRPr="00075448" w:rsidRDefault="00EE6580" w:rsidP="00B527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  <w:t>Equipo especial</w:t>
            </w:r>
          </w:p>
        </w:tc>
        <w:tc>
          <w:tcPr>
            <w:tcW w:w="1200" w:type="dxa"/>
            <w:noWrap/>
            <w:hideMark/>
          </w:tcPr>
          <w:p w:rsidR="00EE6580" w:rsidRPr="00075448" w:rsidRDefault="00EE6580" w:rsidP="00B52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¢ 4.926</w:t>
            </w:r>
          </w:p>
        </w:tc>
        <w:tc>
          <w:tcPr>
            <w:tcW w:w="1388" w:type="dxa"/>
            <w:noWrap/>
            <w:hideMark/>
          </w:tcPr>
          <w:p w:rsidR="00EE6580" w:rsidRPr="00075448" w:rsidRDefault="00EE6580" w:rsidP="00B52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¢ 6.628</w:t>
            </w:r>
          </w:p>
        </w:tc>
        <w:tc>
          <w:tcPr>
            <w:tcW w:w="1281" w:type="dxa"/>
            <w:noWrap/>
            <w:hideMark/>
          </w:tcPr>
          <w:p w:rsidR="00EE6580" w:rsidRPr="00075448" w:rsidRDefault="00EE6580" w:rsidP="00B52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¢ 1.702</w:t>
            </w:r>
          </w:p>
        </w:tc>
        <w:tc>
          <w:tcPr>
            <w:tcW w:w="1961" w:type="dxa"/>
            <w:noWrap/>
            <w:hideMark/>
          </w:tcPr>
          <w:p w:rsidR="00EE6580" w:rsidRPr="00075448" w:rsidRDefault="00EE6580" w:rsidP="00B52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sz w:val="22"/>
                <w:szCs w:val="22"/>
                <w:lang w:val="es-CR"/>
              </w:rPr>
              <w:t>34.5%</w:t>
            </w:r>
          </w:p>
        </w:tc>
      </w:tr>
      <w:tr w:rsidR="00075448" w:rsidRPr="00075448" w:rsidTr="0007544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tcBorders>
              <w:left w:val="none" w:sz="0" w:space="0" w:color="auto"/>
              <w:bottom w:val="none" w:sz="0" w:space="0" w:color="auto"/>
            </w:tcBorders>
            <w:noWrap/>
            <w:hideMark/>
          </w:tcPr>
          <w:p w:rsidR="00EE6580" w:rsidRPr="00075448" w:rsidRDefault="00EE6580" w:rsidP="00B527CD">
            <w:pPr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color w:val="FF0000"/>
                <w:sz w:val="22"/>
                <w:szCs w:val="22"/>
                <w:lang w:val="es-CR" w:eastAsia="es-CR"/>
              </w:rPr>
              <w:t>Prima media ponderada</w:t>
            </w:r>
          </w:p>
        </w:tc>
        <w:tc>
          <w:tcPr>
            <w:tcW w:w="1200" w:type="dxa"/>
            <w:noWrap/>
            <w:hideMark/>
          </w:tcPr>
          <w:p w:rsidR="00EE6580" w:rsidRPr="00075448" w:rsidRDefault="00EE6580" w:rsidP="00B52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val="es-CR" w:eastAsia="es-CR"/>
              </w:rPr>
              <w:t>¢ 30.519</w:t>
            </w:r>
          </w:p>
        </w:tc>
        <w:tc>
          <w:tcPr>
            <w:tcW w:w="1388" w:type="dxa"/>
            <w:noWrap/>
            <w:hideMark/>
          </w:tcPr>
          <w:p w:rsidR="00EE6580" w:rsidRPr="00075448" w:rsidRDefault="00EE6580" w:rsidP="00B52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val="es-CR" w:eastAsia="es-CR"/>
              </w:rPr>
              <w:t>¢ 32.400</w:t>
            </w:r>
          </w:p>
        </w:tc>
        <w:tc>
          <w:tcPr>
            <w:tcW w:w="1281" w:type="dxa"/>
            <w:noWrap/>
            <w:hideMark/>
          </w:tcPr>
          <w:p w:rsidR="00EE6580" w:rsidRPr="00075448" w:rsidRDefault="00EE6580" w:rsidP="00B52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val="es-CR" w:eastAsia="es-CR"/>
              </w:rPr>
              <w:t>¢ 1.881</w:t>
            </w:r>
          </w:p>
        </w:tc>
        <w:tc>
          <w:tcPr>
            <w:tcW w:w="1961" w:type="dxa"/>
            <w:noWrap/>
            <w:hideMark/>
          </w:tcPr>
          <w:p w:rsidR="00EE6580" w:rsidRPr="00075448" w:rsidRDefault="00EE6580" w:rsidP="00B52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val="es-CR" w:eastAsia="es-CR"/>
              </w:rPr>
            </w:pPr>
            <w:r w:rsidRPr="00075448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lang w:val="es-CR" w:eastAsia="es-CR"/>
              </w:rPr>
              <w:t>6.2%</w:t>
            </w:r>
          </w:p>
        </w:tc>
      </w:tr>
    </w:tbl>
    <w:p w:rsidR="008754D4" w:rsidRDefault="008754D4" w:rsidP="007776D6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</w:p>
    <w:p w:rsidR="008754D4" w:rsidRPr="000A283F" w:rsidRDefault="008754D4" w:rsidP="008754D4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  <w:r>
        <w:rPr>
          <w:rFonts w:ascii="Calibri" w:hAnsi="Calibri"/>
          <w:b/>
          <w:sz w:val="22"/>
          <w:szCs w:val="22"/>
          <w:lang w:val="es-CR" w:eastAsia="es-CR"/>
        </w:rPr>
        <w:t>Siniestralidad SOA 201</w:t>
      </w:r>
      <w:r w:rsidR="00EE6580">
        <w:rPr>
          <w:rFonts w:ascii="Calibri" w:hAnsi="Calibri"/>
          <w:b/>
          <w:sz w:val="22"/>
          <w:szCs w:val="22"/>
          <w:lang w:val="es-CR" w:eastAsia="es-CR"/>
        </w:rPr>
        <w:t>6-2017</w:t>
      </w:r>
    </w:p>
    <w:tbl>
      <w:tblPr>
        <w:tblStyle w:val="Tabladecuadrcula4-nfasis5"/>
        <w:tblW w:w="7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882"/>
        <w:gridCol w:w="1256"/>
        <w:gridCol w:w="1256"/>
        <w:gridCol w:w="1158"/>
        <w:gridCol w:w="1158"/>
      </w:tblGrid>
      <w:tr w:rsidR="0095669F" w:rsidTr="00956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95669F" w:rsidRDefault="0095669F">
            <w:pPr>
              <w:rPr>
                <w:rFonts w:ascii="Calibri" w:hAnsi="Calibri"/>
                <w:color w:val="000000"/>
                <w:sz w:val="22"/>
                <w:szCs w:val="22"/>
                <w:lang w:val="es-CR" w:eastAsia="es-C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5669F" w:rsidRPr="0095669F" w:rsidRDefault="00956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0"/>
                <w:sz w:val="22"/>
                <w:szCs w:val="22"/>
              </w:rPr>
              <w:t>D</w:t>
            </w:r>
            <w:r w:rsidRPr="0095669F">
              <w:rPr>
                <w:rFonts w:ascii="Calibri" w:hAnsi="Calibri"/>
                <w:bCs w:val="0"/>
                <w:sz w:val="22"/>
                <w:szCs w:val="22"/>
              </w:rPr>
              <w:t>ic-16</w:t>
            </w:r>
          </w:p>
        </w:tc>
        <w:tc>
          <w:tcPr>
            <w:tcW w:w="12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5669F" w:rsidRPr="0095669F" w:rsidRDefault="00956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22"/>
                <w:szCs w:val="22"/>
              </w:rPr>
            </w:pPr>
            <w:r w:rsidRPr="0095669F">
              <w:rPr>
                <w:rFonts w:ascii="Calibri" w:hAnsi="Calibri"/>
                <w:bCs w:val="0"/>
                <w:sz w:val="22"/>
                <w:szCs w:val="22"/>
              </w:rPr>
              <w:t>Acumulado Set-16</w:t>
            </w:r>
          </w:p>
        </w:tc>
        <w:tc>
          <w:tcPr>
            <w:tcW w:w="12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5669F" w:rsidRPr="0095669F" w:rsidRDefault="00956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22"/>
                <w:szCs w:val="22"/>
              </w:rPr>
            </w:pPr>
            <w:r w:rsidRPr="0095669F">
              <w:rPr>
                <w:rFonts w:ascii="Calibri" w:hAnsi="Calibri"/>
                <w:bCs w:val="0"/>
                <w:sz w:val="22"/>
                <w:szCs w:val="22"/>
              </w:rPr>
              <w:t>Acumulado Set-17</w:t>
            </w:r>
          </w:p>
        </w:tc>
        <w:tc>
          <w:tcPr>
            <w:tcW w:w="11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5669F" w:rsidRPr="0095669F" w:rsidRDefault="00956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22"/>
                <w:szCs w:val="22"/>
              </w:rPr>
            </w:pPr>
            <w:r w:rsidRPr="0095669F">
              <w:rPr>
                <w:rFonts w:ascii="Calibri" w:hAnsi="Calibri"/>
                <w:bCs w:val="0"/>
                <w:sz w:val="22"/>
                <w:szCs w:val="22"/>
              </w:rPr>
              <w:t>Variación Setiembre 17-16</w:t>
            </w:r>
          </w:p>
        </w:tc>
        <w:tc>
          <w:tcPr>
            <w:tcW w:w="11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5669F" w:rsidRPr="0095669F" w:rsidRDefault="00956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sz w:val="22"/>
                <w:szCs w:val="22"/>
              </w:rPr>
            </w:pPr>
            <w:r w:rsidRPr="0095669F">
              <w:rPr>
                <w:rFonts w:ascii="Calibri" w:hAnsi="Calibri"/>
                <w:bCs w:val="0"/>
                <w:sz w:val="22"/>
                <w:szCs w:val="22"/>
              </w:rPr>
              <w:t>Variación % Setiembre 17-16</w:t>
            </w:r>
          </w:p>
        </w:tc>
      </w:tr>
      <w:tr w:rsidR="0095669F" w:rsidTr="00956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shd w:val="clear" w:color="auto" w:fill="4BACC6" w:themeFill="accent5"/>
            <w:noWrap/>
            <w:hideMark/>
          </w:tcPr>
          <w:p w:rsidR="0095669F" w:rsidRPr="0095669F" w:rsidRDefault="0095669F">
            <w:pPr>
              <w:rPr>
                <w:rFonts w:ascii="Calibri" w:hAnsi="Calibri"/>
                <w:bCs w:val="0"/>
                <w:color w:val="000000"/>
                <w:sz w:val="22"/>
                <w:szCs w:val="22"/>
              </w:rPr>
            </w:pPr>
            <w:r w:rsidRPr="0095669F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Accidentes totales</w:t>
            </w:r>
          </w:p>
        </w:tc>
        <w:tc>
          <w:tcPr>
            <w:tcW w:w="882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28.271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20.385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22.813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2.428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11,9%</w:t>
            </w:r>
          </w:p>
        </w:tc>
      </w:tr>
      <w:tr w:rsidR="0095669F" w:rsidTr="009566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shd w:val="clear" w:color="auto" w:fill="4BACC6" w:themeFill="accent5"/>
            <w:noWrap/>
            <w:hideMark/>
          </w:tcPr>
          <w:p w:rsidR="0095669F" w:rsidRPr="0095669F" w:rsidRDefault="0095669F">
            <w:pPr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95669F">
              <w:rPr>
                <w:rFonts w:ascii="Calibri" w:hAnsi="Calibri"/>
                <w:b w:val="0"/>
                <w:color w:val="000000"/>
                <w:sz w:val="22"/>
                <w:szCs w:val="22"/>
              </w:rPr>
              <w:t>Particular</w:t>
            </w:r>
          </w:p>
        </w:tc>
        <w:tc>
          <w:tcPr>
            <w:tcW w:w="882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6.933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5.052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4.962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(90)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-1,8%</w:t>
            </w:r>
          </w:p>
        </w:tc>
      </w:tr>
      <w:tr w:rsidR="0095669F" w:rsidTr="00956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shd w:val="clear" w:color="auto" w:fill="4BACC6" w:themeFill="accent5"/>
            <w:noWrap/>
            <w:hideMark/>
          </w:tcPr>
          <w:p w:rsidR="0095669F" w:rsidRPr="0095669F" w:rsidRDefault="0095669F">
            <w:pPr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95669F">
              <w:rPr>
                <w:rFonts w:ascii="Calibri" w:hAnsi="Calibri"/>
                <w:b w:val="0"/>
                <w:color w:val="000000"/>
                <w:sz w:val="22"/>
                <w:szCs w:val="22"/>
              </w:rPr>
              <w:t>Motos</w:t>
            </w:r>
          </w:p>
        </w:tc>
        <w:tc>
          <w:tcPr>
            <w:tcW w:w="882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15.246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10.906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12.760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1.854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17,0%</w:t>
            </w:r>
          </w:p>
        </w:tc>
      </w:tr>
      <w:tr w:rsidR="0095669F" w:rsidTr="009566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shd w:val="clear" w:color="auto" w:fill="4BACC6" w:themeFill="accent5"/>
            <w:noWrap/>
            <w:hideMark/>
          </w:tcPr>
          <w:p w:rsidR="0095669F" w:rsidRPr="0095669F" w:rsidRDefault="009566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66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5669F" w:rsidTr="00956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shd w:val="clear" w:color="auto" w:fill="4BACC6" w:themeFill="accent5"/>
            <w:noWrap/>
            <w:hideMark/>
          </w:tcPr>
          <w:p w:rsidR="0095669F" w:rsidRPr="0095669F" w:rsidRDefault="009566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669F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Fallecidos total</w:t>
            </w:r>
          </w:p>
        </w:tc>
        <w:tc>
          <w:tcPr>
            <w:tcW w:w="882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11,0%</w:t>
            </w:r>
          </w:p>
        </w:tc>
      </w:tr>
      <w:tr w:rsidR="0095669F" w:rsidTr="009566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shd w:val="clear" w:color="auto" w:fill="4BACC6" w:themeFill="accent5"/>
            <w:noWrap/>
            <w:hideMark/>
          </w:tcPr>
          <w:p w:rsidR="0095669F" w:rsidRPr="0095669F" w:rsidRDefault="0095669F">
            <w:pPr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95669F">
              <w:rPr>
                <w:rFonts w:ascii="Calibri" w:hAnsi="Calibri"/>
                <w:b w:val="0"/>
                <w:color w:val="000000"/>
                <w:sz w:val="22"/>
                <w:szCs w:val="22"/>
              </w:rPr>
              <w:t>Particular</w:t>
            </w:r>
          </w:p>
        </w:tc>
        <w:tc>
          <w:tcPr>
            <w:tcW w:w="882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14,6%</w:t>
            </w:r>
          </w:p>
        </w:tc>
      </w:tr>
      <w:tr w:rsidR="0095669F" w:rsidTr="00956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shd w:val="clear" w:color="auto" w:fill="4BACC6" w:themeFill="accent5"/>
            <w:noWrap/>
            <w:hideMark/>
          </w:tcPr>
          <w:p w:rsidR="0095669F" w:rsidRPr="0095669F" w:rsidRDefault="0095669F">
            <w:pPr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95669F">
              <w:rPr>
                <w:rFonts w:ascii="Calibri" w:hAnsi="Calibri"/>
                <w:b w:val="0"/>
                <w:color w:val="000000"/>
                <w:sz w:val="22"/>
                <w:szCs w:val="22"/>
              </w:rPr>
              <w:t>Motos</w:t>
            </w:r>
          </w:p>
        </w:tc>
        <w:tc>
          <w:tcPr>
            <w:tcW w:w="882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16,2%</w:t>
            </w:r>
          </w:p>
        </w:tc>
      </w:tr>
      <w:tr w:rsidR="0095669F" w:rsidTr="009566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shd w:val="clear" w:color="auto" w:fill="4BACC6" w:themeFill="accent5"/>
            <w:noWrap/>
            <w:hideMark/>
          </w:tcPr>
          <w:p w:rsidR="0095669F" w:rsidRPr="0095669F" w:rsidRDefault="009566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66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5669F" w:rsidTr="00956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shd w:val="clear" w:color="auto" w:fill="4BACC6" w:themeFill="accent5"/>
            <w:noWrap/>
            <w:hideMark/>
          </w:tcPr>
          <w:p w:rsidR="0095669F" w:rsidRPr="0095669F" w:rsidRDefault="009566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5669F">
              <w:rPr>
                <w:rFonts w:ascii="Calibri" w:hAnsi="Calibri"/>
                <w:bCs w:val="0"/>
                <w:color w:val="000000"/>
                <w:sz w:val="22"/>
                <w:szCs w:val="22"/>
              </w:rPr>
              <w:t>Lesionados total</w:t>
            </w:r>
          </w:p>
        </w:tc>
        <w:tc>
          <w:tcPr>
            <w:tcW w:w="882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32.138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23.278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25.985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2.707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11,6%</w:t>
            </w:r>
          </w:p>
        </w:tc>
      </w:tr>
      <w:tr w:rsidR="0095669F" w:rsidTr="009566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shd w:val="clear" w:color="auto" w:fill="4BACC6" w:themeFill="accent5"/>
            <w:noWrap/>
            <w:hideMark/>
          </w:tcPr>
          <w:p w:rsidR="0095669F" w:rsidRPr="0095669F" w:rsidRDefault="0095669F">
            <w:pPr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95669F">
              <w:rPr>
                <w:rFonts w:ascii="Calibri" w:hAnsi="Calibri"/>
                <w:b w:val="0"/>
                <w:color w:val="000000"/>
                <w:sz w:val="22"/>
                <w:szCs w:val="22"/>
              </w:rPr>
              <w:t>Particular</w:t>
            </w:r>
          </w:p>
        </w:tc>
        <w:tc>
          <w:tcPr>
            <w:tcW w:w="882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8.897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6.474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6.360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(114)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-1,8%</w:t>
            </w:r>
          </w:p>
        </w:tc>
      </w:tr>
      <w:tr w:rsidR="0095669F" w:rsidTr="00956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shd w:val="clear" w:color="auto" w:fill="4BACC6" w:themeFill="accent5"/>
            <w:noWrap/>
            <w:hideMark/>
          </w:tcPr>
          <w:p w:rsidR="0095669F" w:rsidRPr="0095669F" w:rsidRDefault="0095669F">
            <w:pPr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95669F">
              <w:rPr>
                <w:rFonts w:ascii="Calibri" w:hAnsi="Calibri"/>
                <w:b w:val="0"/>
                <w:color w:val="000000"/>
                <w:sz w:val="22"/>
                <w:szCs w:val="22"/>
              </w:rPr>
              <w:t>Motos</w:t>
            </w:r>
          </w:p>
        </w:tc>
        <w:tc>
          <w:tcPr>
            <w:tcW w:w="882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16.624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11.968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13.901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1.933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16,2%</w:t>
            </w:r>
          </w:p>
        </w:tc>
      </w:tr>
      <w:tr w:rsidR="0095669F" w:rsidTr="009566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shd w:val="clear" w:color="auto" w:fill="4BACC6" w:themeFill="accent5"/>
            <w:noWrap/>
            <w:hideMark/>
          </w:tcPr>
          <w:p w:rsidR="0095669F" w:rsidRPr="0095669F" w:rsidRDefault="0095669F">
            <w:pPr>
              <w:rPr>
                <w:rFonts w:ascii="Calibri" w:hAnsi="Calibri"/>
                <w:b w:val="0"/>
                <w:color w:val="000000"/>
                <w:sz w:val="22"/>
                <w:szCs w:val="22"/>
              </w:rPr>
            </w:pPr>
            <w:r w:rsidRPr="0095669F">
              <w:rPr>
                <w:rFonts w:ascii="Calibri" w:hAnsi="Calibri"/>
                <w:b w:val="0"/>
                <w:color w:val="000000"/>
                <w:sz w:val="22"/>
                <w:szCs w:val="22"/>
              </w:rPr>
              <w:t>Taxis</w:t>
            </w:r>
          </w:p>
        </w:tc>
        <w:tc>
          <w:tcPr>
            <w:tcW w:w="882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231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(49)</w:t>
            </w:r>
          </w:p>
        </w:tc>
        <w:tc>
          <w:tcPr>
            <w:tcW w:w="1138" w:type="dxa"/>
            <w:noWrap/>
            <w:hideMark/>
          </w:tcPr>
          <w:p w:rsidR="0095669F" w:rsidRDefault="0095669F" w:rsidP="00956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-14,5%</w:t>
            </w:r>
          </w:p>
        </w:tc>
      </w:tr>
    </w:tbl>
    <w:p w:rsidR="008754D4" w:rsidRDefault="008754D4" w:rsidP="00EE33D8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</w:p>
    <w:sectPr w:rsidR="008754D4" w:rsidSect="00C4498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34" w:right="1418" w:bottom="1134" w:left="1418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9F4" w:rsidRDefault="00D209F4">
      <w:r>
        <w:separator/>
      </w:r>
    </w:p>
  </w:endnote>
  <w:endnote w:type="continuationSeparator" w:id="0">
    <w:p w:rsidR="00D209F4" w:rsidRDefault="00D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MediumCond">
    <w:altName w:val="HelveticaNeue Medium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062" w:rsidRDefault="003B6062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:rsidR="003B6062" w:rsidRPr="00A47C57" w:rsidRDefault="003B6062" w:rsidP="003B6062">
    <w:pPr>
      <w:pStyle w:val="Piedepgina"/>
      <w:jc w:val="right"/>
      <w:rPr>
        <w:rFonts w:asciiTheme="minorHAnsi" w:hAnsiTheme="minorHAnsi"/>
        <w:sz w:val="16"/>
        <w:szCs w:val="16"/>
        <w:lang w:val="es-CR"/>
      </w:rPr>
    </w:pPr>
    <w:r w:rsidRPr="00A47C57">
      <w:rPr>
        <w:rFonts w:asciiTheme="minorHAnsi" w:hAnsiTheme="minorHAnsi"/>
        <w:sz w:val="16"/>
        <w:szCs w:val="16"/>
        <w:lang w:val="es-CR"/>
      </w:rPr>
      <w:t>Teléfonos: 2243-5108, 2243-5103  •  Fax: 2243-5151</w:t>
    </w:r>
  </w:p>
  <w:p w:rsidR="003B6062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  <w:r w:rsidRPr="00A47C57">
      <w:rPr>
        <w:rFonts w:asciiTheme="minorHAnsi" w:hAnsiTheme="minorHAnsi"/>
        <w:sz w:val="16"/>
        <w:szCs w:val="16"/>
      </w:rPr>
      <w:t xml:space="preserve">Dirección: </w:t>
    </w:r>
    <w:r w:rsidR="003B6062" w:rsidRPr="00A47C57">
      <w:rPr>
        <w:rFonts w:asciiTheme="minorHAnsi" w:hAnsiTheme="minorHAnsi"/>
        <w:sz w:val="16"/>
        <w:szCs w:val="16"/>
      </w:rPr>
      <w:t>Edificio Torre del Este, Piso 8</w:t>
    </w:r>
  </w:p>
  <w:p w:rsidR="003B6062" w:rsidRDefault="00D209F4" w:rsidP="003B6062">
    <w:pPr>
      <w:pStyle w:val="Piedepgina"/>
      <w:jc w:val="right"/>
      <w:rPr>
        <w:rStyle w:val="Hipervnculo"/>
        <w:rFonts w:asciiTheme="minorHAnsi" w:hAnsiTheme="minorHAnsi"/>
        <w:sz w:val="16"/>
        <w:szCs w:val="16"/>
      </w:rPr>
    </w:pPr>
    <w:hyperlink r:id="rId1" w:history="1">
      <w:r w:rsidR="00A47C57">
        <w:rPr>
          <w:rStyle w:val="Hipervnculo"/>
          <w:rFonts w:asciiTheme="minorHAnsi" w:hAnsiTheme="minorHAnsi"/>
          <w:sz w:val="16"/>
          <w:szCs w:val="16"/>
        </w:rPr>
        <w:t>www.sugese.fi.cr</w:t>
      </w:r>
    </w:hyperlink>
  </w:p>
  <w:p w:rsidR="00A47C57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DB1" w:rsidRPr="00321681" w:rsidRDefault="00295DB1" w:rsidP="00295DB1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  <w:p w:rsidR="00F120CC" w:rsidRPr="00321681" w:rsidRDefault="00F120CC" w:rsidP="00121F8C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9F4" w:rsidRDefault="00D209F4">
      <w:r>
        <w:separator/>
      </w:r>
    </w:p>
  </w:footnote>
  <w:footnote w:type="continuationSeparator" w:id="0">
    <w:p w:rsidR="00D209F4" w:rsidRDefault="00D20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D97" w:rsidRDefault="000A5A91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F84D9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4D97" w:rsidRDefault="00F84D97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8D" w:rsidRPr="001E4DCC" w:rsidRDefault="003B6062" w:rsidP="001E4DCC">
    <w:pPr>
      <w:pStyle w:val="Encabezado"/>
      <w:jc w:val="center"/>
      <w:rPr>
        <w:lang w:val="es-MX"/>
      </w:rPr>
    </w:pPr>
    <w:r>
      <w:rPr>
        <w:noProof/>
        <w:lang w:val="es-CR" w:eastAsia="es-CR"/>
      </w:rPr>
      <w:drawing>
        <wp:inline distT="0" distB="0" distL="0" distR="0" wp14:anchorId="022A83B0" wp14:editId="340AB102">
          <wp:extent cx="1343025" cy="1078735"/>
          <wp:effectExtent l="19050" t="0" r="9525" b="0"/>
          <wp:docPr id="3" name="2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07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83F" w:rsidRDefault="000A283F" w:rsidP="000A283F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543206CC" wp14:editId="40AA2A26">
          <wp:extent cx="1386791" cy="1111615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uge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12" cy="111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4D97" w:rsidRDefault="00F84D97" w:rsidP="005C7A5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62182"/>
    <w:multiLevelType w:val="hybridMultilevel"/>
    <w:tmpl w:val="6F36F3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211F6"/>
    <w:multiLevelType w:val="hybridMultilevel"/>
    <w:tmpl w:val="9EB2BFE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2A31D50"/>
    <w:multiLevelType w:val="hybridMultilevel"/>
    <w:tmpl w:val="8FC293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2E"/>
    <w:rsid w:val="000113D5"/>
    <w:rsid w:val="00013E22"/>
    <w:rsid w:val="00014821"/>
    <w:rsid w:val="00016538"/>
    <w:rsid w:val="00024AB0"/>
    <w:rsid w:val="00027FAE"/>
    <w:rsid w:val="00030F07"/>
    <w:rsid w:val="000325E2"/>
    <w:rsid w:val="00033012"/>
    <w:rsid w:val="00045520"/>
    <w:rsid w:val="00050434"/>
    <w:rsid w:val="00051000"/>
    <w:rsid w:val="000514B1"/>
    <w:rsid w:val="00051A05"/>
    <w:rsid w:val="0005572B"/>
    <w:rsid w:val="00056775"/>
    <w:rsid w:val="000571CC"/>
    <w:rsid w:val="000574D9"/>
    <w:rsid w:val="0006123C"/>
    <w:rsid w:val="00061411"/>
    <w:rsid w:val="00065B06"/>
    <w:rsid w:val="000719F3"/>
    <w:rsid w:val="00075448"/>
    <w:rsid w:val="000842BA"/>
    <w:rsid w:val="0008683A"/>
    <w:rsid w:val="000868BC"/>
    <w:rsid w:val="00086F5A"/>
    <w:rsid w:val="00090507"/>
    <w:rsid w:val="00090F51"/>
    <w:rsid w:val="00093B81"/>
    <w:rsid w:val="000A267E"/>
    <w:rsid w:val="000A283F"/>
    <w:rsid w:val="000A586B"/>
    <w:rsid w:val="000A5A91"/>
    <w:rsid w:val="000B0545"/>
    <w:rsid w:val="000B5681"/>
    <w:rsid w:val="000C63EA"/>
    <w:rsid w:val="000C68A3"/>
    <w:rsid w:val="000D094B"/>
    <w:rsid w:val="000D3384"/>
    <w:rsid w:val="000D3997"/>
    <w:rsid w:val="000D5BAF"/>
    <w:rsid w:val="000D69F0"/>
    <w:rsid w:val="000E1FBB"/>
    <w:rsid w:val="000F1BA8"/>
    <w:rsid w:val="000F3C66"/>
    <w:rsid w:val="000F5939"/>
    <w:rsid w:val="000F66FA"/>
    <w:rsid w:val="00102BE3"/>
    <w:rsid w:val="00103125"/>
    <w:rsid w:val="00105BC7"/>
    <w:rsid w:val="00111065"/>
    <w:rsid w:val="001119C8"/>
    <w:rsid w:val="001140BE"/>
    <w:rsid w:val="00120931"/>
    <w:rsid w:val="00121F8C"/>
    <w:rsid w:val="00122804"/>
    <w:rsid w:val="001248DC"/>
    <w:rsid w:val="0012754E"/>
    <w:rsid w:val="00132BF3"/>
    <w:rsid w:val="00133594"/>
    <w:rsid w:val="0014087D"/>
    <w:rsid w:val="0014555A"/>
    <w:rsid w:val="00146E87"/>
    <w:rsid w:val="00147D27"/>
    <w:rsid w:val="00150032"/>
    <w:rsid w:val="001560A7"/>
    <w:rsid w:val="00156BBD"/>
    <w:rsid w:val="00160E5F"/>
    <w:rsid w:val="00161294"/>
    <w:rsid w:val="00162C54"/>
    <w:rsid w:val="00172606"/>
    <w:rsid w:val="00181E1F"/>
    <w:rsid w:val="0018755A"/>
    <w:rsid w:val="00190D2D"/>
    <w:rsid w:val="00190F54"/>
    <w:rsid w:val="00194074"/>
    <w:rsid w:val="001947EA"/>
    <w:rsid w:val="001956B1"/>
    <w:rsid w:val="001960EC"/>
    <w:rsid w:val="001A0BF4"/>
    <w:rsid w:val="001A161B"/>
    <w:rsid w:val="001A164D"/>
    <w:rsid w:val="001A455E"/>
    <w:rsid w:val="001A4791"/>
    <w:rsid w:val="001A58C5"/>
    <w:rsid w:val="001B2D7F"/>
    <w:rsid w:val="001B527D"/>
    <w:rsid w:val="001B592B"/>
    <w:rsid w:val="001B6F26"/>
    <w:rsid w:val="001C029F"/>
    <w:rsid w:val="001C33C2"/>
    <w:rsid w:val="001C4742"/>
    <w:rsid w:val="001E4541"/>
    <w:rsid w:val="001E46F7"/>
    <w:rsid w:val="001E4DCC"/>
    <w:rsid w:val="001E51CD"/>
    <w:rsid w:val="001F1AEB"/>
    <w:rsid w:val="001F2A9D"/>
    <w:rsid w:val="002029CB"/>
    <w:rsid w:val="00220A32"/>
    <w:rsid w:val="00225F27"/>
    <w:rsid w:val="00225FE6"/>
    <w:rsid w:val="00232849"/>
    <w:rsid w:val="00233024"/>
    <w:rsid w:val="00233334"/>
    <w:rsid w:val="00244774"/>
    <w:rsid w:val="0024521C"/>
    <w:rsid w:val="002461EC"/>
    <w:rsid w:val="002514CD"/>
    <w:rsid w:val="00253E5B"/>
    <w:rsid w:val="0025677E"/>
    <w:rsid w:val="002575C2"/>
    <w:rsid w:val="00260E93"/>
    <w:rsid w:val="002623EB"/>
    <w:rsid w:val="00264AA4"/>
    <w:rsid w:val="0026672E"/>
    <w:rsid w:val="0027226A"/>
    <w:rsid w:val="00273AB1"/>
    <w:rsid w:val="00277BC2"/>
    <w:rsid w:val="00281606"/>
    <w:rsid w:val="00286C9F"/>
    <w:rsid w:val="002906FE"/>
    <w:rsid w:val="00292F73"/>
    <w:rsid w:val="00295DB1"/>
    <w:rsid w:val="00297D0F"/>
    <w:rsid w:val="002B23CB"/>
    <w:rsid w:val="002B321F"/>
    <w:rsid w:val="002B4E53"/>
    <w:rsid w:val="002B653F"/>
    <w:rsid w:val="002B7E38"/>
    <w:rsid w:val="002C1623"/>
    <w:rsid w:val="002C680D"/>
    <w:rsid w:val="002D2156"/>
    <w:rsid w:val="002D3657"/>
    <w:rsid w:val="002D479E"/>
    <w:rsid w:val="002E0A7C"/>
    <w:rsid w:val="002E4DF5"/>
    <w:rsid w:val="002E4F06"/>
    <w:rsid w:val="002F3C92"/>
    <w:rsid w:val="00300B35"/>
    <w:rsid w:val="003023A7"/>
    <w:rsid w:val="0031178C"/>
    <w:rsid w:val="00317C45"/>
    <w:rsid w:val="00317DBF"/>
    <w:rsid w:val="00321681"/>
    <w:rsid w:val="00322D8F"/>
    <w:rsid w:val="0033182D"/>
    <w:rsid w:val="00332236"/>
    <w:rsid w:val="003440CE"/>
    <w:rsid w:val="0034599A"/>
    <w:rsid w:val="00350337"/>
    <w:rsid w:val="003614BC"/>
    <w:rsid w:val="00361804"/>
    <w:rsid w:val="003644C9"/>
    <w:rsid w:val="00375F87"/>
    <w:rsid w:val="00376365"/>
    <w:rsid w:val="00376C18"/>
    <w:rsid w:val="003777F1"/>
    <w:rsid w:val="00380945"/>
    <w:rsid w:val="0039460B"/>
    <w:rsid w:val="003A18E4"/>
    <w:rsid w:val="003A68FC"/>
    <w:rsid w:val="003B245E"/>
    <w:rsid w:val="003B3A13"/>
    <w:rsid w:val="003B6062"/>
    <w:rsid w:val="003C0221"/>
    <w:rsid w:val="003C1949"/>
    <w:rsid w:val="003D78EA"/>
    <w:rsid w:val="003E2712"/>
    <w:rsid w:val="003E3BB6"/>
    <w:rsid w:val="003F1622"/>
    <w:rsid w:val="003F34F3"/>
    <w:rsid w:val="003F63E7"/>
    <w:rsid w:val="00402B46"/>
    <w:rsid w:val="00403A02"/>
    <w:rsid w:val="004055D4"/>
    <w:rsid w:val="004122AE"/>
    <w:rsid w:val="00414BEF"/>
    <w:rsid w:val="00417212"/>
    <w:rsid w:val="00422FB3"/>
    <w:rsid w:val="00424D06"/>
    <w:rsid w:val="00426055"/>
    <w:rsid w:val="0042696D"/>
    <w:rsid w:val="00426D67"/>
    <w:rsid w:val="004360A4"/>
    <w:rsid w:val="00437678"/>
    <w:rsid w:val="0044425F"/>
    <w:rsid w:val="0045352C"/>
    <w:rsid w:val="00455A6E"/>
    <w:rsid w:val="00457B2E"/>
    <w:rsid w:val="00457D45"/>
    <w:rsid w:val="00460EA5"/>
    <w:rsid w:val="00465590"/>
    <w:rsid w:val="004659D3"/>
    <w:rsid w:val="0047025D"/>
    <w:rsid w:val="0047444E"/>
    <w:rsid w:val="00480AA2"/>
    <w:rsid w:val="004844FF"/>
    <w:rsid w:val="00484CE2"/>
    <w:rsid w:val="00485293"/>
    <w:rsid w:val="00487C9C"/>
    <w:rsid w:val="004935FD"/>
    <w:rsid w:val="0049605F"/>
    <w:rsid w:val="004A0703"/>
    <w:rsid w:val="004A279B"/>
    <w:rsid w:val="004A6224"/>
    <w:rsid w:val="004B04E8"/>
    <w:rsid w:val="004B3B14"/>
    <w:rsid w:val="004C5227"/>
    <w:rsid w:val="004C606C"/>
    <w:rsid w:val="004D3556"/>
    <w:rsid w:val="004F1CF4"/>
    <w:rsid w:val="004F29BF"/>
    <w:rsid w:val="004F54F5"/>
    <w:rsid w:val="00500FDA"/>
    <w:rsid w:val="00501F7E"/>
    <w:rsid w:val="00521F14"/>
    <w:rsid w:val="00523E65"/>
    <w:rsid w:val="00524A1F"/>
    <w:rsid w:val="00526E32"/>
    <w:rsid w:val="005274A1"/>
    <w:rsid w:val="00531863"/>
    <w:rsid w:val="00533770"/>
    <w:rsid w:val="005341DE"/>
    <w:rsid w:val="0053531C"/>
    <w:rsid w:val="00540D4C"/>
    <w:rsid w:val="0054523D"/>
    <w:rsid w:val="005538EF"/>
    <w:rsid w:val="00554443"/>
    <w:rsid w:val="0057017A"/>
    <w:rsid w:val="00571BC3"/>
    <w:rsid w:val="00573257"/>
    <w:rsid w:val="005741EF"/>
    <w:rsid w:val="005770BE"/>
    <w:rsid w:val="00577373"/>
    <w:rsid w:val="00583FA3"/>
    <w:rsid w:val="00591066"/>
    <w:rsid w:val="005929D6"/>
    <w:rsid w:val="00595D6D"/>
    <w:rsid w:val="005A25EF"/>
    <w:rsid w:val="005A33B3"/>
    <w:rsid w:val="005A53E9"/>
    <w:rsid w:val="005A7CED"/>
    <w:rsid w:val="005B1992"/>
    <w:rsid w:val="005C43C8"/>
    <w:rsid w:val="005C7A57"/>
    <w:rsid w:val="005D12C4"/>
    <w:rsid w:val="005D2548"/>
    <w:rsid w:val="005D3256"/>
    <w:rsid w:val="005D4878"/>
    <w:rsid w:val="005E67CE"/>
    <w:rsid w:val="005F2A3A"/>
    <w:rsid w:val="005F31F4"/>
    <w:rsid w:val="005F4685"/>
    <w:rsid w:val="005F7758"/>
    <w:rsid w:val="005F7ADA"/>
    <w:rsid w:val="00600EE0"/>
    <w:rsid w:val="00607BD0"/>
    <w:rsid w:val="006168C8"/>
    <w:rsid w:val="006202DD"/>
    <w:rsid w:val="0062043B"/>
    <w:rsid w:val="006216A7"/>
    <w:rsid w:val="00631CC4"/>
    <w:rsid w:val="00635033"/>
    <w:rsid w:val="00643CC6"/>
    <w:rsid w:val="0064428E"/>
    <w:rsid w:val="0065445D"/>
    <w:rsid w:val="00663A9C"/>
    <w:rsid w:val="00663AD9"/>
    <w:rsid w:val="006648B9"/>
    <w:rsid w:val="00673FCD"/>
    <w:rsid w:val="006757D4"/>
    <w:rsid w:val="00676840"/>
    <w:rsid w:val="00680E46"/>
    <w:rsid w:val="00685368"/>
    <w:rsid w:val="006865B1"/>
    <w:rsid w:val="00686DE0"/>
    <w:rsid w:val="0068794F"/>
    <w:rsid w:val="006939F8"/>
    <w:rsid w:val="00695CC6"/>
    <w:rsid w:val="006A1107"/>
    <w:rsid w:val="006A3254"/>
    <w:rsid w:val="006A4998"/>
    <w:rsid w:val="006A5203"/>
    <w:rsid w:val="006A6EAE"/>
    <w:rsid w:val="006B10DC"/>
    <w:rsid w:val="006B5765"/>
    <w:rsid w:val="006C1494"/>
    <w:rsid w:val="006C3214"/>
    <w:rsid w:val="006C5D3B"/>
    <w:rsid w:val="006D080C"/>
    <w:rsid w:val="006D5C11"/>
    <w:rsid w:val="006D6FEC"/>
    <w:rsid w:val="006E0DE9"/>
    <w:rsid w:val="006E0E68"/>
    <w:rsid w:val="006E44B8"/>
    <w:rsid w:val="006F22FF"/>
    <w:rsid w:val="00705ED0"/>
    <w:rsid w:val="007118D7"/>
    <w:rsid w:val="00722C11"/>
    <w:rsid w:val="0072574F"/>
    <w:rsid w:val="00726094"/>
    <w:rsid w:val="0074619D"/>
    <w:rsid w:val="0075227C"/>
    <w:rsid w:val="007525D3"/>
    <w:rsid w:val="00761366"/>
    <w:rsid w:val="00763C85"/>
    <w:rsid w:val="0076408A"/>
    <w:rsid w:val="00765812"/>
    <w:rsid w:val="00772C48"/>
    <w:rsid w:val="00774192"/>
    <w:rsid w:val="007773FA"/>
    <w:rsid w:val="007776D6"/>
    <w:rsid w:val="0078215A"/>
    <w:rsid w:val="00786248"/>
    <w:rsid w:val="00786294"/>
    <w:rsid w:val="00791820"/>
    <w:rsid w:val="00795933"/>
    <w:rsid w:val="007A0208"/>
    <w:rsid w:val="007A39F5"/>
    <w:rsid w:val="007A4E30"/>
    <w:rsid w:val="007B0CE2"/>
    <w:rsid w:val="007B163A"/>
    <w:rsid w:val="007B4649"/>
    <w:rsid w:val="007B5150"/>
    <w:rsid w:val="007B53FE"/>
    <w:rsid w:val="007B558C"/>
    <w:rsid w:val="007B55AB"/>
    <w:rsid w:val="007B6025"/>
    <w:rsid w:val="007C0F6B"/>
    <w:rsid w:val="007C156E"/>
    <w:rsid w:val="007C19F3"/>
    <w:rsid w:val="007C30A1"/>
    <w:rsid w:val="007C6A4F"/>
    <w:rsid w:val="007C7D1E"/>
    <w:rsid w:val="007D0776"/>
    <w:rsid w:val="007D0B90"/>
    <w:rsid w:val="007D0FD8"/>
    <w:rsid w:val="007E4307"/>
    <w:rsid w:val="007E7723"/>
    <w:rsid w:val="007F5C48"/>
    <w:rsid w:val="00807B54"/>
    <w:rsid w:val="008166B1"/>
    <w:rsid w:val="008211F2"/>
    <w:rsid w:val="00823812"/>
    <w:rsid w:val="00824A16"/>
    <w:rsid w:val="00827B50"/>
    <w:rsid w:val="00831632"/>
    <w:rsid w:val="00831B91"/>
    <w:rsid w:val="00836219"/>
    <w:rsid w:val="00836B8C"/>
    <w:rsid w:val="00837C29"/>
    <w:rsid w:val="00840744"/>
    <w:rsid w:val="00840E02"/>
    <w:rsid w:val="0084117E"/>
    <w:rsid w:val="00841EE6"/>
    <w:rsid w:val="00841FD6"/>
    <w:rsid w:val="008463A2"/>
    <w:rsid w:val="0084704D"/>
    <w:rsid w:val="00850559"/>
    <w:rsid w:val="008507AA"/>
    <w:rsid w:val="0086015D"/>
    <w:rsid w:val="0086255F"/>
    <w:rsid w:val="0086649E"/>
    <w:rsid w:val="00866933"/>
    <w:rsid w:val="008717CA"/>
    <w:rsid w:val="008754D4"/>
    <w:rsid w:val="008768A8"/>
    <w:rsid w:val="00877BA5"/>
    <w:rsid w:val="008839DB"/>
    <w:rsid w:val="0089016D"/>
    <w:rsid w:val="00890A84"/>
    <w:rsid w:val="00895F56"/>
    <w:rsid w:val="008A056E"/>
    <w:rsid w:val="008A1A48"/>
    <w:rsid w:val="008A3E02"/>
    <w:rsid w:val="008B0DFF"/>
    <w:rsid w:val="008B28C3"/>
    <w:rsid w:val="008B3726"/>
    <w:rsid w:val="008C30F9"/>
    <w:rsid w:val="008C316E"/>
    <w:rsid w:val="008C648F"/>
    <w:rsid w:val="008C6C40"/>
    <w:rsid w:val="008D4823"/>
    <w:rsid w:val="008E4D59"/>
    <w:rsid w:val="008E589D"/>
    <w:rsid w:val="008F2C12"/>
    <w:rsid w:val="008F2F13"/>
    <w:rsid w:val="008F321E"/>
    <w:rsid w:val="008F46E9"/>
    <w:rsid w:val="008F49AE"/>
    <w:rsid w:val="008F4A19"/>
    <w:rsid w:val="008F65F5"/>
    <w:rsid w:val="009029EC"/>
    <w:rsid w:val="00902C4B"/>
    <w:rsid w:val="00914479"/>
    <w:rsid w:val="00924EA4"/>
    <w:rsid w:val="00925E5B"/>
    <w:rsid w:val="00927975"/>
    <w:rsid w:val="00930AAB"/>
    <w:rsid w:val="00931EB5"/>
    <w:rsid w:val="009333EA"/>
    <w:rsid w:val="0093362D"/>
    <w:rsid w:val="00934D9A"/>
    <w:rsid w:val="00941C96"/>
    <w:rsid w:val="0094432D"/>
    <w:rsid w:val="00944E5A"/>
    <w:rsid w:val="00953809"/>
    <w:rsid w:val="00954D13"/>
    <w:rsid w:val="0095669F"/>
    <w:rsid w:val="0096339E"/>
    <w:rsid w:val="00970073"/>
    <w:rsid w:val="00971B45"/>
    <w:rsid w:val="0097330B"/>
    <w:rsid w:val="0097419D"/>
    <w:rsid w:val="00977DEF"/>
    <w:rsid w:val="0098345E"/>
    <w:rsid w:val="009928D6"/>
    <w:rsid w:val="009A2506"/>
    <w:rsid w:val="009B4CF6"/>
    <w:rsid w:val="009B6ADD"/>
    <w:rsid w:val="009C0B91"/>
    <w:rsid w:val="009C464A"/>
    <w:rsid w:val="009C6D84"/>
    <w:rsid w:val="009D0CD7"/>
    <w:rsid w:val="009D1429"/>
    <w:rsid w:val="009D2960"/>
    <w:rsid w:val="009D2EE7"/>
    <w:rsid w:val="009E0251"/>
    <w:rsid w:val="009E15B6"/>
    <w:rsid w:val="009E5F53"/>
    <w:rsid w:val="009E63C7"/>
    <w:rsid w:val="009E726C"/>
    <w:rsid w:val="009F3191"/>
    <w:rsid w:val="009F4099"/>
    <w:rsid w:val="009F7475"/>
    <w:rsid w:val="00A065FE"/>
    <w:rsid w:val="00A13C6A"/>
    <w:rsid w:val="00A162E0"/>
    <w:rsid w:val="00A1665C"/>
    <w:rsid w:val="00A17F38"/>
    <w:rsid w:val="00A228ED"/>
    <w:rsid w:val="00A2429F"/>
    <w:rsid w:val="00A27409"/>
    <w:rsid w:val="00A32A7D"/>
    <w:rsid w:val="00A36969"/>
    <w:rsid w:val="00A3716A"/>
    <w:rsid w:val="00A47C57"/>
    <w:rsid w:val="00A52DB5"/>
    <w:rsid w:val="00A54878"/>
    <w:rsid w:val="00A60995"/>
    <w:rsid w:val="00A64CB1"/>
    <w:rsid w:val="00A72BFA"/>
    <w:rsid w:val="00A770E4"/>
    <w:rsid w:val="00A816F3"/>
    <w:rsid w:val="00A82C8B"/>
    <w:rsid w:val="00A90155"/>
    <w:rsid w:val="00AA55F1"/>
    <w:rsid w:val="00AA6890"/>
    <w:rsid w:val="00AB230D"/>
    <w:rsid w:val="00AC02D9"/>
    <w:rsid w:val="00AC1B42"/>
    <w:rsid w:val="00AC67F1"/>
    <w:rsid w:val="00AD043A"/>
    <w:rsid w:val="00AD19A8"/>
    <w:rsid w:val="00AD1A72"/>
    <w:rsid w:val="00AD1DB0"/>
    <w:rsid w:val="00AD2C16"/>
    <w:rsid w:val="00AD2CF9"/>
    <w:rsid w:val="00AD405C"/>
    <w:rsid w:val="00AD47D3"/>
    <w:rsid w:val="00AF04F5"/>
    <w:rsid w:val="00AF43D2"/>
    <w:rsid w:val="00B00CBB"/>
    <w:rsid w:val="00B01825"/>
    <w:rsid w:val="00B049F0"/>
    <w:rsid w:val="00B06E6D"/>
    <w:rsid w:val="00B07072"/>
    <w:rsid w:val="00B07E2E"/>
    <w:rsid w:val="00B13BA5"/>
    <w:rsid w:val="00B14D5F"/>
    <w:rsid w:val="00B16A0D"/>
    <w:rsid w:val="00B20663"/>
    <w:rsid w:val="00B23AE0"/>
    <w:rsid w:val="00B25444"/>
    <w:rsid w:val="00B30566"/>
    <w:rsid w:val="00B30614"/>
    <w:rsid w:val="00B51017"/>
    <w:rsid w:val="00B54CCD"/>
    <w:rsid w:val="00B6563B"/>
    <w:rsid w:val="00B67247"/>
    <w:rsid w:val="00B71755"/>
    <w:rsid w:val="00B745E1"/>
    <w:rsid w:val="00B75387"/>
    <w:rsid w:val="00B80807"/>
    <w:rsid w:val="00B814F9"/>
    <w:rsid w:val="00B82CA7"/>
    <w:rsid w:val="00B83554"/>
    <w:rsid w:val="00B8389B"/>
    <w:rsid w:val="00B8456E"/>
    <w:rsid w:val="00B85C19"/>
    <w:rsid w:val="00B92F36"/>
    <w:rsid w:val="00B97E4A"/>
    <w:rsid w:val="00BA36BF"/>
    <w:rsid w:val="00BA44EB"/>
    <w:rsid w:val="00BA51FB"/>
    <w:rsid w:val="00BB0182"/>
    <w:rsid w:val="00BB349C"/>
    <w:rsid w:val="00BB368B"/>
    <w:rsid w:val="00BB412C"/>
    <w:rsid w:val="00BB53AF"/>
    <w:rsid w:val="00BB7A46"/>
    <w:rsid w:val="00BC086C"/>
    <w:rsid w:val="00BC2A9E"/>
    <w:rsid w:val="00BC445C"/>
    <w:rsid w:val="00BC79FD"/>
    <w:rsid w:val="00BE2F45"/>
    <w:rsid w:val="00BE6582"/>
    <w:rsid w:val="00BF0EE6"/>
    <w:rsid w:val="00BF1A03"/>
    <w:rsid w:val="00BF24C6"/>
    <w:rsid w:val="00BF2A0D"/>
    <w:rsid w:val="00BF7171"/>
    <w:rsid w:val="00C03864"/>
    <w:rsid w:val="00C0470C"/>
    <w:rsid w:val="00C06067"/>
    <w:rsid w:val="00C06273"/>
    <w:rsid w:val="00C06D89"/>
    <w:rsid w:val="00C077CA"/>
    <w:rsid w:val="00C11245"/>
    <w:rsid w:val="00C120DD"/>
    <w:rsid w:val="00C121AB"/>
    <w:rsid w:val="00C17AEB"/>
    <w:rsid w:val="00C23E7A"/>
    <w:rsid w:val="00C30A0D"/>
    <w:rsid w:val="00C31EE4"/>
    <w:rsid w:val="00C40716"/>
    <w:rsid w:val="00C41EE1"/>
    <w:rsid w:val="00C4498B"/>
    <w:rsid w:val="00C47B92"/>
    <w:rsid w:val="00C47B9F"/>
    <w:rsid w:val="00C55E62"/>
    <w:rsid w:val="00C56891"/>
    <w:rsid w:val="00C71460"/>
    <w:rsid w:val="00C71BEF"/>
    <w:rsid w:val="00C71C96"/>
    <w:rsid w:val="00C74081"/>
    <w:rsid w:val="00C75A0D"/>
    <w:rsid w:val="00C75C75"/>
    <w:rsid w:val="00C76F85"/>
    <w:rsid w:val="00C8250B"/>
    <w:rsid w:val="00C864E6"/>
    <w:rsid w:val="00C87545"/>
    <w:rsid w:val="00C91C48"/>
    <w:rsid w:val="00C96F3C"/>
    <w:rsid w:val="00CA1B79"/>
    <w:rsid w:val="00CA3205"/>
    <w:rsid w:val="00CB68F8"/>
    <w:rsid w:val="00CC3E99"/>
    <w:rsid w:val="00CC3FD2"/>
    <w:rsid w:val="00CC782A"/>
    <w:rsid w:val="00CD0B5B"/>
    <w:rsid w:val="00CD26FC"/>
    <w:rsid w:val="00CE2685"/>
    <w:rsid w:val="00CF1A41"/>
    <w:rsid w:val="00CF34CD"/>
    <w:rsid w:val="00CF5115"/>
    <w:rsid w:val="00CF5383"/>
    <w:rsid w:val="00D02CF0"/>
    <w:rsid w:val="00D141D8"/>
    <w:rsid w:val="00D14C72"/>
    <w:rsid w:val="00D17A92"/>
    <w:rsid w:val="00D209F4"/>
    <w:rsid w:val="00D3404F"/>
    <w:rsid w:val="00D34543"/>
    <w:rsid w:val="00D402A0"/>
    <w:rsid w:val="00D40845"/>
    <w:rsid w:val="00D41327"/>
    <w:rsid w:val="00D42D8D"/>
    <w:rsid w:val="00D43E0A"/>
    <w:rsid w:val="00D648CF"/>
    <w:rsid w:val="00D64BCB"/>
    <w:rsid w:val="00D65BA4"/>
    <w:rsid w:val="00D70D83"/>
    <w:rsid w:val="00D71DC4"/>
    <w:rsid w:val="00D73F73"/>
    <w:rsid w:val="00D768D9"/>
    <w:rsid w:val="00D80440"/>
    <w:rsid w:val="00D813A3"/>
    <w:rsid w:val="00D86911"/>
    <w:rsid w:val="00D876E5"/>
    <w:rsid w:val="00D921F9"/>
    <w:rsid w:val="00DA118F"/>
    <w:rsid w:val="00DA3E60"/>
    <w:rsid w:val="00DA4FCD"/>
    <w:rsid w:val="00DC0D15"/>
    <w:rsid w:val="00DC1158"/>
    <w:rsid w:val="00DC5E6E"/>
    <w:rsid w:val="00DC7198"/>
    <w:rsid w:val="00DD42F4"/>
    <w:rsid w:val="00DD6008"/>
    <w:rsid w:val="00DE2881"/>
    <w:rsid w:val="00DE4B1E"/>
    <w:rsid w:val="00DE5C69"/>
    <w:rsid w:val="00DF419F"/>
    <w:rsid w:val="00DF4452"/>
    <w:rsid w:val="00E02E33"/>
    <w:rsid w:val="00E048A2"/>
    <w:rsid w:val="00E04C1F"/>
    <w:rsid w:val="00E04D8F"/>
    <w:rsid w:val="00E142F5"/>
    <w:rsid w:val="00E14ABE"/>
    <w:rsid w:val="00E1543F"/>
    <w:rsid w:val="00E15DD1"/>
    <w:rsid w:val="00E1650E"/>
    <w:rsid w:val="00E172AB"/>
    <w:rsid w:val="00E30DB7"/>
    <w:rsid w:val="00E33E7C"/>
    <w:rsid w:val="00E40FAE"/>
    <w:rsid w:val="00E4234F"/>
    <w:rsid w:val="00E44372"/>
    <w:rsid w:val="00E52FA0"/>
    <w:rsid w:val="00E5574D"/>
    <w:rsid w:val="00E57309"/>
    <w:rsid w:val="00E574CD"/>
    <w:rsid w:val="00E5755C"/>
    <w:rsid w:val="00E617B3"/>
    <w:rsid w:val="00E6353C"/>
    <w:rsid w:val="00E83182"/>
    <w:rsid w:val="00E84CEF"/>
    <w:rsid w:val="00E85704"/>
    <w:rsid w:val="00E8660E"/>
    <w:rsid w:val="00E92C5A"/>
    <w:rsid w:val="00E9644D"/>
    <w:rsid w:val="00E96DBC"/>
    <w:rsid w:val="00E96F1B"/>
    <w:rsid w:val="00EA1F38"/>
    <w:rsid w:val="00EB6ADE"/>
    <w:rsid w:val="00EC4222"/>
    <w:rsid w:val="00ED4204"/>
    <w:rsid w:val="00ED6438"/>
    <w:rsid w:val="00ED7493"/>
    <w:rsid w:val="00EE0514"/>
    <w:rsid w:val="00EE1D7C"/>
    <w:rsid w:val="00EE33D8"/>
    <w:rsid w:val="00EE454A"/>
    <w:rsid w:val="00EE6580"/>
    <w:rsid w:val="00EE6910"/>
    <w:rsid w:val="00EF1C78"/>
    <w:rsid w:val="00EF4243"/>
    <w:rsid w:val="00EF43AA"/>
    <w:rsid w:val="00EF7213"/>
    <w:rsid w:val="00F017F8"/>
    <w:rsid w:val="00F03BE7"/>
    <w:rsid w:val="00F045B4"/>
    <w:rsid w:val="00F0559B"/>
    <w:rsid w:val="00F05927"/>
    <w:rsid w:val="00F05E1F"/>
    <w:rsid w:val="00F07E39"/>
    <w:rsid w:val="00F11D3C"/>
    <w:rsid w:val="00F120CC"/>
    <w:rsid w:val="00F13C17"/>
    <w:rsid w:val="00F14794"/>
    <w:rsid w:val="00F20DDD"/>
    <w:rsid w:val="00F2112C"/>
    <w:rsid w:val="00F21444"/>
    <w:rsid w:val="00F23E7A"/>
    <w:rsid w:val="00F324A2"/>
    <w:rsid w:val="00F3556F"/>
    <w:rsid w:val="00F35F11"/>
    <w:rsid w:val="00F360F9"/>
    <w:rsid w:val="00F4039F"/>
    <w:rsid w:val="00F42AB4"/>
    <w:rsid w:val="00F50C78"/>
    <w:rsid w:val="00F51753"/>
    <w:rsid w:val="00F53ABC"/>
    <w:rsid w:val="00F556AF"/>
    <w:rsid w:val="00F56C40"/>
    <w:rsid w:val="00F602D9"/>
    <w:rsid w:val="00F62E3D"/>
    <w:rsid w:val="00F62F72"/>
    <w:rsid w:val="00F67485"/>
    <w:rsid w:val="00F707A9"/>
    <w:rsid w:val="00F802C0"/>
    <w:rsid w:val="00F84D97"/>
    <w:rsid w:val="00F868AF"/>
    <w:rsid w:val="00F90F88"/>
    <w:rsid w:val="00F924D1"/>
    <w:rsid w:val="00F97DE3"/>
    <w:rsid w:val="00FA3068"/>
    <w:rsid w:val="00FB27E9"/>
    <w:rsid w:val="00FB329F"/>
    <w:rsid w:val="00FB5637"/>
    <w:rsid w:val="00FC6B87"/>
    <w:rsid w:val="00FC6F7A"/>
    <w:rsid w:val="00FD19E0"/>
    <w:rsid w:val="00FD3800"/>
    <w:rsid w:val="00FD5199"/>
    <w:rsid w:val="00FD6D6A"/>
    <w:rsid w:val="00FD7A49"/>
    <w:rsid w:val="00FE6F8D"/>
    <w:rsid w:val="00FE7C22"/>
    <w:rsid w:val="00FF031A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A1EB49CA-6701-4E4C-9413-9BE7A94F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uiPriority w:val="99"/>
    <w:rsid w:val="00CE2685"/>
    <w:rPr>
      <w:sz w:val="20"/>
    </w:rPr>
  </w:style>
  <w:style w:type="character" w:styleId="Refdenotaalpie">
    <w:name w:val="footnote reference"/>
    <w:basedOn w:val="Fuentedeprrafopredeter"/>
    <w:uiPriority w:val="99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uiPriority w:val="99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table" w:styleId="Sombreadomedio1-nfasis1">
    <w:name w:val="Medium Shading 1 Accent 1"/>
    <w:basedOn w:val="Tablanormal"/>
    <w:uiPriority w:val="63"/>
    <w:rsid w:val="007E77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cuadrcula5oscura-nfasis5">
    <w:name w:val="Grid Table 5 Dark Accent 5"/>
    <w:basedOn w:val="Tablanormal"/>
    <w:uiPriority w:val="50"/>
    <w:rsid w:val="00C875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87545"/>
    <w:rPr>
      <w:sz w:val="24"/>
      <w:szCs w:val="24"/>
      <w:lang w:val="es-ES" w:eastAsia="es-ES"/>
    </w:rPr>
  </w:style>
  <w:style w:type="table" w:styleId="Tabladecuadrcula4-nfasis3">
    <w:name w:val="Grid Table 4 Accent 3"/>
    <w:basedOn w:val="Tablanormal"/>
    <w:uiPriority w:val="49"/>
    <w:rsid w:val="0007544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4-nfasis5">
    <w:name w:val="Grid Table 4 Accent 5"/>
    <w:basedOn w:val="Tablanormal"/>
    <w:uiPriority w:val="49"/>
    <w:rsid w:val="0007544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ervicios@ins-cr.com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sugese@sugese.fi.c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 xsi:nil="true"/>
    <DescripcionComunicado xmlns="b9fc4df0-8f56-46e7-b005-54afe0044df7">•	Alta siniestralidad en motos aumenta la prima en 15%
•	Cobertura se mantiene en 6 millones de colones
</DescripcionComunicado>
    <StartDate xmlns="http://schemas.microsoft.com/sharepoint/v3">2017-10-27T06:00:00+00:00</StartDate>
    <MostrarSiempre xmlns="b9fc4df0-8f56-46e7-b005-54afe0044df7">No</MostrarSiemp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08A8D-BA7E-4FE3-BB31-0D49A0B8A895}"/>
</file>

<file path=customXml/itemProps2.xml><?xml version="1.0" encoding="utf-8"?>
<ds:datastoreItem xmlns:ds="http://schemas.openxmlformats.org/officeDocument/2006/customXml" ds:itemID="{DD26481B-EFA8-4B61-8CA8-20D2CA9361B2}"/>
</file>

<file path=customXml/itemProps3.xml><?xml version="1.0" encoding="utf-8"?>
<ds:datastoreItem xmlns:ds="http://schemas.openxmlformats.org/officeDocument/2006/customXml" ds:itemID="{974D62D2-6A61-4DC1-8003-C37D5A99CAD3}"/>
</file>

<file path=customXml/itemProps4.xml><?xml version="1.0" encoding="utf-8"?>
<ds:datastoreItem xmlns:ds="http://schemas.openxmlformats.org/officeDocument/2006/customXml" ds:itemID="{AE88DD92-CAF5-4B2C-92FF-F23B842E4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Olivier Castro P</vt:lpstr>
    </vt:vector>
  </TitlesOfParts>
  <Company>Superintendencia de Pensiones</Company>
  <LinksUpToDate>false</LinksUpToDate>
  <CharactersWithSpaces>3845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 del SOA disminuye para vehículos particulares</dc:title>
  <dc:creator>Gerardo Ortega Aguilar</dc:creator>
  <cp:lastModifiedBy>MOLINA LOPEZ MELISSA</cp:lastModifiedBy>
  <cp:revision>2</cp:revision>
  <cp:lastPrinted>2015-11-20T15:54:00Z</cp:lastPrinted>
  <dcterms:created xsi:type="dcterms:W3CDTF">2017-10-27T15:39:00Z</dcterms:created>
  <dcterms:modified xsi:type="dcterms:W3CDTF">2017-10-27T15:39:00Z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2017-10-26T06:00:00Z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•	Alta siniestralidad en motos aumenta la prima en 15%
•	Cobertura se mantiene en 6 millones de colones
</vt:lpwstr>
  </property>
</Properties>
</file>